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D5CAA" w14:textId="543F533D" w:rsidR="009A0405" w:rsidRDefault="00465562" w:rsidP="0012336F">
      <w:pPr>
        <w:pStyle w:val="Heading1"/>
        <w:rPr>
          <w:b/>
          <w:bCs/>
        </w:rPr>
      </w:pPr>
      <w:r>
        <w:rPr>
          <w:noProof/>
          <w:lang w:val="en-US"/>
        </w:rPr>
        <w:drawing>
          <wp:inline distT="0" distB="0" distL="0" distR="0" wp14:anchorId="1C692228" wp14:editId="28620A37">
            <wp:extent cx="2179320" cy="487680"/>
            <wp:effectExtent l="0" t="0" r="0" b="0"/>
            <wp:docPr id="1"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white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79320" cy="487680"/>
                    </a:xfrm>
                    <a:prstGeom prst="rect">
                      <a:avLst/>
                    </a:prstGeom>
                    <a:noFill/>
                    <a:ln>
                      <a:noFill/>
                    </a:ln>
                  </pic:spPr>
                </pic:pic>
              </a:graphicData>
            </a:graphic>
          </wp:inline>
        </w:drawing>
      </w:r>
    </w:p>
    <w:p w14:paraId="2B532738" w14:textId="425A4923" w:rsidR="0012336F" w:rsidRPr="0012336F" w:rsidRDefault="003A6BE1" w:rsidP="0012336F">
      <w:pPr>
        <w:pStyle w:val="Heading1"/>
        <w:rPr>
          <w:b/>
          <w:bCs/>
        </w:rPr>
      </w:pPr>
      <w:r>
        <w:rPr>
          <w:b/>
          <w:bCs/>
        </w:rPr>
        <w:t>Consultation Paper o</w:t>
      </w:r>
      <w:r w:rsidRPr="003A6BE1">
        <w:rPr>
          <w:b/>
          <w:bCs/>
        </w:rPr>
        <w:t>n the Amendments to the RTS on Settlement Discipline</w:t>
      </w:r>
    </w:p>
    <w:p w14:paraId="3EFBFECF" w14:textId="698E751E" w:rsidR="004F75C3" w:rsidRPr="00DB38AF" w:rsidRDefault="00E93E90" w:rsidP="00F8504F">
      <w:pPr>
        <w:pStyle w:val="Heading1"/>
        <w:rPr>
          <w:sz w:val="36"/>
          <w:szCs w:val="36"/>
        </w:rPr>
      </w:pPr>
      <w:r>
        <w:rPr>
          <w:sz w:val="36"/>
          <w:szCs w:val="36"/>
        </w:rPr>
        <w:t xml:space="preserve">Question </w:t>
      </w:r>
      <w:r w:rsidR="00900576">
        <w:rPr>
          <w:sz w:val="36"/>
          <w:szCs w:val="36"/>
        </w:rPr>
        <w:t xml:space="preserve">drafting </w:t>
      </w:r>
      <w:r w:rsidR="00783DF2">
        <w:rPr>
          <w:sz w:val="36"/>
          <w:szCs w:val="36"/>
        </w:rPr>
        <w:t>– final</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gridCol w:w="6066"/>
        <w:gridCol w:w="1276"/>
      </w:tblGrid>
      <w:tr w:rsidR="0034783C" w:rsidRPr="0034783C" w14:paraId="5E7EDA7C" w14:textId="4FFFDF6A" w:rsidTr="0038258F">
        <w:trPr>
          <w:trHeight w:val="288"/>
          <w:tblHeader/>
        </w:trPr>
        <w:tc>
          <w:tcPr>
            <w:tcW w:w="7792" w:type="dxa"/>
            <w:shd w:val="clear" w:color="auto" w:fill="0B769F" w:themeFill="accent4" w:themeFillShade="BF"/>
            <w:hideMark/>
          </w:tcPr>
          <w:p w14:paraId="5E28EE93" w14:textId="77777777" w:rsidR="0038258F" w:rsidRPr="0034783C" w:rsidRDefault="0038258F" w:rsidP="007329AB">
            <w:pPr>
              <w:spacing w:after="0" w:line="240" w:lineRule="auto"/>
              <w:rPr>
                <w:rFonts w:ascii="Arial" w:eastAsia="Times New Roman" w:hAnsi="Arial" w:cs="Arial"/>
                <w:b/>
                <w:bCs/>
                <w:color w:val="FFFFFF" w:themeColor="background1"/>
                <w:kern w:val="0"/>
                <w:lang w:eastAsia="en-GB"/>
                <w14:ligatures w14:val="none"/>
              </w:rPr>
            </w:pPr>
            <w:r w:rsidRPr="0034783C">
              <w:rPr>
                <w:rFonts w:ascii="Arial" w:eastAsia="Times New Roman" w:hAnsi="Arial" w:cs="Arial"/>
                <w:b/>
                <w:bCs/>
                <w:color w:val="FFFFFF" w:themeColor="background1"/>
                <w:kern w:val="0"/>
                <w:lang w:eastAsia="en-GB"/>
                <w14:ligatures w14:val="none"/>
              </w:rPr>
              <w:t>Question/Area</w:t>
            </w:r>
          </w:p>
        </w:tc>
        <w:tc>
          <w:tcPr>
            <w:tcW w:w="6066" w:type="dxa"/>
            <w:shd w:val="clear" w:color="auto" w:fill="0B769F" w:themeFill="accent4" w:themeFillShade="BF"/>
          </w:tcPr>
          <w:p w14:paraId="2C4A1038" w14:textId="504B58B6" w:rsidR="0038258F" w:rsidRPr="0034783C" w:rsidRDefault="0038258F" w:rsidP="007329AB">
            <w:pPr>
              <w:spacing w:after="0" w:line="240" w:lineRule="auto"/>
              <w:rPr>
                <w:rFonts w:ascii="Arial" w:eastAsia="Times New Roman" w:hAnsi="Arial" w:cs="Arial"/>
                <w:b/>
                <w:bCs/>
                <w:color w:val="FFFFFF" w:themeColor="background1"/>
                <w:kern w:val="0"/>
                <w:lang w:eastAsia="en-GB"/>
                <w14:ligatures w14:val="none"/>
              </w:rPr>
            </w:pPr>
            <w:r w:rsidRPr="0034783C">
              <w:rPr>
                <w:rFonts w:ascii="Arial" w:eastAsia="Times New Roman" w:hAnsi="Arial" w:cs="Arial"/>
                <w:b/>
                <w:bCs/>
                <w:color w:val="FFFFFF" w:themeColor="background1"/>
                <w:kern w:val="0"/>
                <w:lang w:eastAsia="en-GB"/>
                <w14:ligatures w14:val="none"/>
              </w:rPr>
              <w:t>Response guideline notes/drafting</w:t>
            </w:r>
          </w:p>
        </w:tc>
        <w:tc>
          <w:tcPr>
            <w:tcW w:w="1276" w:type="dxa"/>
            <w:shd w:val="clear" w:color="auto" w:fill="0B769F" w:themeFill="accent4" w:themeFillShade="BF"/>
          </w:tcPr>
          <w:p w14:paraId="262AC8B7" w14:textId="1AA43CB4" w:rsidR="0038258F" w:rsidRPr="0034783C" w:rsidRDefault="0038258F" w:rsidP="007329AB">
            <w:pPr>
              <w:spacing w:after="0" w:line="240" w:lineRule="auto"/>
              <w:rPr>
                <w:rFonts w:ascii="Arial" w:eastAsia="Times New Roman" w:hAnsi="Arial" w:cs="Arial"/>
                <w:b/>
                <w:bCs/>
                <w:color w:val="FFFFFF" w:themeColor="background1"/>
                <w:kern w:val="0"/>
                <w:lang w:eastAsia="en-GB"/>
                <w14:ligatures w14:val="none"/>
              </w:rPr>
            </w:pPr>
            <w:r w:rsidRPr="0034783C">
              <w:rPr>
                <w:rFonts w:ascii="Arial" w:eastAsia="Times New Roman" w:hAnsi="Arial" w:cs="Arial"/>
                <w:b/>
                <w:bCs/>
                <w:color w:val="FFFFFF" w:themeColor="background1"/>
                <w:kern w:val="0"/>
                <w:lang w:eastAsia="en-GB"/>
                <w14:ligatures w14:val="none"/>
              </w:rPr>
              <w:t>Status</w:t>
            </w:r>
          </w:p>
        </w:tc>
      </w:tr>
      <w:tr w:rsidR="0038258F" w:rsidRPr="007329AB" w14:paraId="426177B3" w14:textId="77777777" w:rsidTr="0038258F">
        <w:trPr>
          <w:trHeight w:val="312"/>
        </w:trPr>
        <w:tc>
          <w:tcPr>
            <w:tcW w:w="7792" w:type="dxa"/>
            <w:shd w:val="clear" w:color="auto" w:fill="60CAF3" w:themeFill="accent4" w:themeFillTint="99"/>
          </w:tcPr>
          <w:p w14:paraId="61F6ADDF" w14:textId="1541BB9A" w:rsidR="0038258F" w:rsidRPr="00CC7B42" w:rsidRDefault="0038258F" w:rsidP="000E0B0A">
            <w:pPr>
              <w:spacing w:after="0" w:line="240" w:lineRule="auto"/>
              <w:rPr>
                <w:rFonts w:ascii="Arial" w:eastAsia="Times New Roman" w:hAnsi="Arial" w:cs="Arial"/>
                <w:kern w:val="0"/>
                <w:lang w:eastAsia="en-GB"/>
                <w14:ligatures w14:val="none"/>
              </w:rPr>
            </w:pPr>
          </w:p>
        </w:tc>
        <w:tc>
          <w:tcPr>
            <w:tcW w:w="6066" w:type="dxa"/>
            <w:shd w:val="clear" w:color="auto" w:fill="60CAF3" w:themeFill="accent4" w:themeFillTint="99"/>
          </w:tcPr>
          <w:p w14:paraId="74D9E199" w14:textId="1CD285DE" w:rsidR="0038258F" w:rsidRPr="00CC7B42" w:rsidRDefault="0038258F" w:rsidP="000E0B0A">
            <w:pPr>
              <w:spacing w:after="0" w:line="240" w:lineRule="auto"/>
              <w:rPr>
                <w:rFonts w:ascii="Arial" w:eastAsia="Times New Roman" w:hAnsi="Arial" w:cs="Arial"/>
                <w:b/>
                <w:bCs/>
                <w:kern w:val="0"/>
                <w:lang w:eastAsia="en-GB"/>
                <w14:ligatures w14:val="none"/>
              </w:rPr>
            </w:pPr>
          </w:p>
        </w:tc>
        <w:tc>
          <w:tcPr>
            <w:tcW w:w="1276" w:type="dxa"/>
            <w:shd w:val="clear" w:color="auto" w:fill="60CAF3" w:themeFill="accent4" w:themeFillTint="99"/>
          </w:tcPr>
          <w:p w14:paraId="65B0956E" w14:textId="77777777" w:rsidR="0038258F" w:rsidRPr="00CC7B42" w:rsidRDefault="0038258F" w:rsidP="000E0B0A">
            <w:pPr>
              <w:spacing w:after="0" w:line="240" w:lineRule="auto"/>
              <w:rPr>
                <w:rFonts w:ascii="Arial" w:eastAsia="Times New Roman" w:hAnsi="Arial" w:cs="Arial"/>
                <w:b/>
                <w:bCs/>
                <w:kern w:val="0"/>
                <w:lang w:eastAsia="en-GB"/>
                <w14:ligatures w14:val="none"/>
              </w:rPr>
            </w:pPr>
          </w:p>
        </w:tc>
      </w:tr>
      <w:tr w:rsidR="0038258F" w:rsidRPr="007329AB" w14:paraId="06FAB382" w14:textId="77777777" w:rsidTr="0038258F">
        <w:trPr>
          <w:trHeight w:val="576"/>
        </w:trPr>
        <w:tc>
          <w:tcPr>
            <w:tcW w:w="7792" w:type="dxa"/>
            <w:shd w:val="clear" w:color="auto" w:fill="auto"/>
          </w:tcPr>
          <w:p w14:paraId="01A3C299" w14:textId="47A7F6EC"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Q3: If you support an obligation for investment firms to notify their professional clients the execution as soon as the orders are fulfilled, do you think that clients should be allowed a maximum number of business hours for the allocations and confirmations from the moment of notification by investment firms, instead of having fixed deadlines? If yes, how many hours would be necessary for that? </w:t>
            </w:r>
          </w:p>
        </w:tc>
        <w:tc>
          <w:tcPr>
            <w:tcW w:w="6066" w:type="dxa"/>
          </w:tcPr>
          <w:p w14:paraId="026D0DCD" w14:textId="314DFBA7"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are supportive of the introduction of deadlines, noting their use in the US as part of their migration to T+1. We recommend an offset to end of trading hours rather than a fixed deadline given the differences in trading hours across markets.</w:t>
            </w:r>
          </w:p>
        </w:tc>
        <w:tc>
          <w:tcPr>
            <w:tcW w:w="1276" w:type="dxa"/>
            <w:shd w:val="clear" w:color="auto" w:fill="DAE9F7" w:themeFill="text2" w:themeFillTint="1A"/>
          </w:tcPr>
          <w:p w14:paraId="2CB71704" w14:textId="0B17B49B"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1CF8BC37" w14:textId="77777777" w:rsidTr="0038258F">
        <w:trPr>
          <w:trHeight w:val="576"/>
        </w:trPr>
        <w:tc>
          <w:tcPr>
            <w:tcW w:w="7792" w:type="dxa"/>
            <w:shd w:val="clear" w:color="auto" w:fill="auto"/>
          </w:tcPr>
          <w:p w14:paraId="4F517813" w14:textId="571A7431"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Q7: Do you agree to make the use of electronic and machine-readable format that allow for STP mandatory for written allocations?  </w:t>
            </w:r>
          </w:p>
        </w:tc>
        <w:tc>
          <w:tcPr>
            <w:tcW w:w="6066" w:type="dxa"/>
          </w:tcPr>
          <w:p w14:paraId="0378517D" w14:textId="144B1429"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are in general supportive of the use of electronic and machine-readable communications. Platforms such as DTC CTM and open standards such as FIX and ISO 15022 are heavily used for allocations, confirmations and affirmations. However, there is still some manual communication in this area and a mandate may be required to force this into the machine-readable world. We would, however, advise against any requirement to use a specific implementation or messaging standard given the range of electronic solutions used today. We believe the requirement to use electronic and machine-readable communication methods to be sufficient.</w:t>
            </w:r>
          </w:p>
        </w:tc>
        <w:tc>
          <w:tcPr>
            <w:tcW w:w="1276" w:type="dxa"/>
            <w:shd w:val="clear" w:color="auto" w:fill="DAE9F7" w:themeFill="text2" w:themeFillTint="1A"/>
          </w:tcPr>
          <w:p w14:paraId="39DAE10F" w14:textId="277846FF"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7A2B864F" w14:textId="77777777" w:rsidTr="0038258F">
        <w:trPr>
          <w:trHeight w:val="576"/>
        </w:trPr>
        <w:tc>
          <w:tcPr>
            <w:tcW w:w="7792" w:type="dxa"/>
            <w:shd w:val="clear" w:color="auto" w:fill="auto"/>
          </w:tcPr>
          <w:p w14:paraId="414E42B4" w14:textId="727A9C22"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Q8: Would you see merit in introducing optionality for investment firms to set deadlines based on whether an electronic, machine-readable format of the communication is used? In such case, do you agree that an earlier deadline could be set for non-machine-readable formats, so clients are disincentivised to use them? Which should be such deadline?  </w:t>
            </w:r>
          </w:p>
        </w:tc>
        <w:tc>
          <w:tcPr>
            <w:tcW w:w="6066" w:type="dxa"/>
          </w:tcPr>
          <w:p w14:paraId="7261BC11" w14:textId="3C238745" w:rsidR="0038258F" w:rsidRPr="00CC7B42" w:rsidRDefault="0038258F" w:rsidP="00A644B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 xml:space="preserve">Introducing essentially a time penalty for use of manual communications has some merit, though it is not clear how such a penalty would be calibrated. However, this would still require firms to employ personnel and/or retain technology to handle non-machine-readable formats which would carry ongoing costs. Moving to a fully machine-readable </w:t>
            </w:r>
            <w:r w:rsidRPr="00CC7B42">
              <w:rPr>
                <w:rFonts w:ascii="Arial" w:eastAsia="Times New Roman" w:hAnsi="Arial" w:cs="Arial"/>
                <w:kern w:val="0"/>
                <w:lang w:eastAsia="en-GB"/>
                <w14:ligatures w14:val="none"/>
              </w:rPr>
              <w:lastRenderedPageBreak/>
              <w:t>environment, though initially burdensome for some firms, would present savings in the longer term both for them and their counterparts. We of course recognise that firms will need to support non-machine-readable formats for non-EU (and non-UK) activity, though this tends to be lower in volume for EU-based firms.</w:t>
            </w:r>
          </w:p>
        </w:tc>
        <w:tc>
          <w:tcPr>
            <w:tcW w:w="1276" w:type="dxa"/>
            <w:shd w:val="clear" w:color="auto" w:fill="DAE9F7" w:themeFill="text2" w:themeFillTint="1A"/>
          </w:tcPr>
          <w:p w14:paraId="2A78DFB9" w14:textId="4C487050"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Final</w:t>
            </w:r>
          </w:p>
        </w:tc>
      </w:tr>
      <w:tr w:rsidR="0038258F" w:rsidRPr="007329AB" w14:paraId="4265DB05" w14:textId="77777777" w:rsidTr="0038258F">
        <w:trPr>
          <w:trHeight w:val="576"/>
        </w:trPr>
        <w:tc>
          <w:tcPr>
            <w:tcW w:w="7792" w:type="dxa"/>
            <w:shd w:val="clear" w:color="auto" w:fill="auto"/>
          </w:tcPr>
          <w:p w14:paraId="31803834" w14:textId="50825B27"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Q10: Would it be necessary to introduce a similar obligation in other steps of the settlement chain? If yes, please elaborate.  </w:t>
            </w:r>
          </w:p>
        </w:tc>
        <w:tc>
          <w:tcPr>
            <w:tcW w:w="6066" w:type="dxa"/>
          </w:tcPr>
          <w:p w14:paraId="538C9785" w14:textId="03E71F6B" w:rsidR="0038258F" w:rsidRPr="00CC7B42" w:rsidRDefault="0038258F" w:rsidP="000B43FF">
            <w:pPr>
              <w:tabs>
                <w:tab w:val="left" w:pos="3000"/>
              </w:tabs>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Similar to our response to Q7, we are in general supportive of the use of electronic and machine-readable communications, noting the significant use of standards such as ISO 15022 and ISO 20022 already in different parts of the settlement chains. Furthermore, if the term "settlement chain" is intended to include allocation, confirmation, and affirmation then FIX also needs to be considered given its extensive usage across the industry today and its connection with the trading process.</w:t>
            </w:r>
          </w:p>
          <w:p w14:paraId="7A48D355" w14:textId="77777777" w:rsidR="0038258F" w:rsidRPr="00CC7B42" w:rsidRDefault="0038258F" w:rsidP="000B43FF">
            <w:pPr>
              <w:tabs>
                <w:tab w:val="left" w:pos="3000"/>
              </w:tabs>
              <w:spacing w:after="0" w:line="240" w:lineRule="auto"/>
              <w:rPr>
                <w:rFonts w:ascii="Arial" w:eastAsia="Times New Roman" w:hAnsi="Arial" w:cs="Arial"/>
                <w:kern w:val="0"/>
                <w:lang w:eastAsia="en-GB"/>
                <w14:ligatures w14:val="none"/>
              </w:rPr>
            </w:pPr>
          </w:p>
          <w:p w14:paraId="1EF8F2EB" w14:textId="79929DB6" w:rsidR="0038258F" w:rsidRPr="00CC7B42" w:rsidRDefault="0038258F" w:rsidP="00CA7370">
            <w:pPr>
              <w:tabs>
                <w:tab w:val="left" w:pos="3000"/>
              </w:tabs>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Using machine-readable formats throughout would speed up data transfer, increase quality and reduce time to manage issues. We would, however, advise against any requirement to use a specific implementation or standard given the extensive use of incumbent electronic solutions that have proven highly effective in automating these processes. We believe the requirement to use electronic and machine-readable communication methods to be sufficient.</w:t>
            </w:r>
          </w:p>
        </w:tc>
        <w:tc>
          <w:tcPr>
            <w:tcW w:w="1276" w:type="dxa"/>
            <w:shd w:val="clear" w:color="auto" w:fill="DAE9F7" w:themeFill="text2" w:themeFillTint="1A"/>
          </w:tcPr>
          <w:p w14:paraId="4F8BD48C" w14:textId="12099870"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2680C084" w14:textId="77777777" w:rsidTr="0038258F">
        <w:trPr>
          <w:trHeight w:val="576"/>
        </w:trPr>
        <w:tc>
          <w:tcPr>
            <w:tcW w:w="7792" w:type="dxa"/>
            <w:shd w:val="clear" w:color="auto" w:fill="auto"/>
          </w:tcPr>
          <w:p w14:paraId="0707D710" w14:textId="1283DC1B"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Q12: Do you agree with the proposed amendment to Article 2 of CDR 2018/1229? </w:t>
            </w:r>
          </w:p>
        </w:tc>
        <w:tc>
          <w:tcPr>
            <w:tcW w:w="6066" w:type="dxa"/>
          </w:tcPr>
          <w:p w14:paraId="4A948309" w14:textId="60F4D6C3" w:rsidR="0038258F" w:rsidRPr="00CC7B42" w:rsidRDefault="0038258F" w:rsidP="00CE4D6D">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 xml:space="preserve">Similar to our response to Q7, we are in general supportive of the use of electronic and machine-readable communications. However, we take issue with the statements made in paragraphs 59-61 which appear to force the industry in to using ISO 20022 XML for allocations, confirmations, affirmations and other parts of the transaction workflow. The statement that “ISO 20022 is already broadly used” simply isn’t true for allocation, confirmation and affirmation messaging, and it is not clear what synergies exist with “other reporting systems” or indeed what such systems are. </w:t>
            </w:r>
          </w:p>
          <w:p w14:paraId="339DAA56" w14:textId="77777777" w:rsidR="0038258F" w:rsidRPr="00CC7B42" w:rsidRDefault="0038258F" w:rsidP="00CE4D6D">
            <w:pPr>
              <w:spacing w:after="0" w:line="240" w:lineRule="auto"/>
              <w:rPr>
                <w:rFonts w:ascii="Arial" w:eastAsia="Times New Roman" w:hAnsi="Arial" w:cs="Arial"/>
                <w:kern w:val="0"/>
                <w:lang w:eastAsia="en-GB"/>
                <w14:ligatures w14:val="none"/>
              </w:rPr>
            </w:pPr>
          </w:p>
          <w:p w14:paraId="782D15C7" w14:textId="2BDFEFA0" w:rsidR="0038258F" w:rsidRPr="00CC7B42" w:rsidRDefault="0038258F" w:rsidP="00CE4D6D">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Given machine-readable alternatives (notably DTC's CTM, FIX, ISO 15022) are heavily used and work well, mandating such a move would impose a considerable implementation and cost burden on the industry for little or no benefit. These solutions have been serving the industry well for over thirty years and, as per our response to Q7, improvements in trade processing efficiency and timeliness can be made with greater adoption of these solutions, rather than replacing them.</w:t>
            </w:r>
          </w:p>
          <w:p w14:paraId="3D560A35" w14:textId="77777777" w:rsidR="0038258F" w:rsidRPr="00CC7B42" w:rsidRDefault="0038258F" w:rsidP="00CE4D6D">
            <w:pPr>
              <w:spacing w:after="0" w:line="240" w:lineRule="auto"/>
              <w:rPr>
                <w:rFonts w:ascii="Arial" w:eastAsia="Times New Roman" w:hAnsi="Arial" w:cs="Arial"/>
                <w:kern w:val="0"/>
                <w:lang w:eastAsia="en-GB"/>
                <w14:ligatures w14:val="none"/>
              </w:rPr>
            </w:pPr>
          </w:p>
          <w:p w14:paraId="00E0435F" w14:textId="19DF13DF" w:rsidR="0038258F" w:rsidRPr="00CC7B42" w:rsidRDefault="0038258F" w:rsidP="00CE4D6D">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It should also be recognised that trade processing infrastructures are rarely built on a per-market basis, so it cannot be stated that moving to ISO 20022 will introduce any long-term saving while other markets services by the same technological infrastructure uses existing communication methods.</w:t>
            </w:r>
          </w:p>
          <w:p w14:paraId="04A0EC80" w14:textId="77777777" w:rsidR="0038258F" w:rsidRPr="00CC7B42" w:rsidRDefault="0038258F" w:rsidP="00CE4D6D">
            <w:pPr>
              <w:spacing w:after="0" w:line="240" w:lineRule="auto"/>
              <w:rPr>
                <w:rFonts w:ascii="Arial" w:eastAsia="Times New Roman" w:hAnsi="Arial" w:cs="Arial"/>
                <w:kern w:val="0"/>
                <w:lang w:eastAsia="en-GB"/>
                <w14:ligatures w14:val="none"/>
              </w:rPr>
            </w:pPr>
          </w:p>
          <w:p w14:paraId="52D22587" w14:textId="78928BE5" w:rsidR="0038258F" w:rsidRPr="00CC7B42" w:rsidRDefault="0038258F" w:rsidP="00CE4D6D">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do, however, recognise the advantages in having well defined and common data standards throughout the process and suggest that an exercise be undertaken to explore interoperability between ISO 20022 (where indeed such elements and message definitions exist) and incumbent standards and platform solutions.</w:t>
            </w:r>
          </w:p>
        </w:tc>
        <w:tc>
          <w:tcPr>
            <w:tcW w:w="1276" w:type="dxa"/>
            <w:shd w:val="clear" w:color="auto" w:fill="DAE9F7" w:themeFill="text2" w:themeFillTint="1A"/>
          </w:tcPr>
          <w:p w14:paraId="62F68608" w14:textId="1529BF55"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Final</w:t>
            </w:r>
          </w:p>
        </w:tc>
      </w:tr>
      <w:tr w:rsidR="0038258F" w:rsidRPr="007329AB" w14:paraId="465A5306" w14:textId="77777777" w:rsidTr="0038258F">
        <w:trPr>
          <w:trHeight w:val="576"/>
        </w:trPr>
        <w:tc>
          <w:tcPr>
            <w:tcW w:w="7792" w:type="dxa"/>
            <w:shd w:val="clear" w:color="auto" w:fill="auto"/>
          </w:tcPr>
          <w:p w14:paraId="7850650A" w14:textId="679FAAFC"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Q13: Do you agree that settlement efficiency would improve if all parties in the transaction and settlement chain used the latest international standards, such as the ISO 20022 messaging standards, in particular whenever A2A messages and data are exchanged? If not, please elaborate. How long would it take for all parties to adapt to ISO20022? </w:t>
            </w:r>
          </w:p>
        </w:tc>
        <w:tc>
          <w:tcPr>
            <w:tcW w:w="6066" w:type="dxa"/>
          </w:tcPr>
          <w:p w14:paraId="222F287D" w14:textId="2103E03F" w:rsidR="0038258F" w:rsidRPr="00CC7B42" w:rsidRDefault="0038258F" w:rsidP="00D11E23">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 xml:space="preserve">Similar to our responses to Q7 and Q12, we believe that usage of machine-readable standards will improve the quality and timeliness of trade settlement, though recognise that there are many causes of settlement fails, and standardising messages is not the whole solution. </w:t>
            </w:r>
          </w:p>
          <w:p w14:paraId="2D781FCD" w14:textId="77777777" w:rsidR="0038258F" w:rsidRPr="00CC7B42" w:rsidRDefault="0038258F" w:rsidP="00D11E23">
            <w:pPr>
              <w:spacing w:after="0" w:line="240" w:lineRule="auto"/>
              <w:rPr>
                <w:rFonts w:ascii="Arial" w:eastAsia="Times New Roman" w:hAnsi="Arial" w:cs="Arial"/>
                <w:kern w:val="0"/>
                <w:lang w:eastAsia="en-GB"/>
                <w14:ligatures w14:val="none"/>
              </w:rPr>
            </w:pPr>
          </w:p>
          <w:p w14:paraId="3F413BA0" w14:textId="5AC637C4" w:rsidR="0038258F" w:rsidRPr="00CC7B42" w:rsidRDefault="0038258F" w:rsidP="00D11E23">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 xml:space="preserve">Requiring industry participants to move to ISO 20022 XML in the timelines required for T+1 implementation will take resources away from remediating areas that may have a greater impact and, as per our response to Q12, incur significant costs for little or no benefit. </w:t>
            </w:r>
            <w:r w:rsidR="00C0181D" w:rsidRPr="00CC7B42">
              <w:rPr>
                <w:rFonts w:ascii="Arial" w:eastAsia="Times New Roman" w:hAnsi="Arial" w:cs="Arial"/>
                <w:kern w:val="0"/>
                <w:lang w:eastAsia="en-GB"/>
                <w14:ligatures w14:val="none"/>
              </w:rPr>
              <w:t>A</w:t>
            </w:r>
            <w:r w:rsidRPr="00CC7B42">
              <w:rPr>
                <w:rFonts w:ascii="Arial" w:eastAsia="Times New Roman" w:hAnsi="Arial" w:cs="Arial"/>
                <w:kern w:val="0"/>
                <w:lang w:eastAsia="en-GB"/>
                <w14:ligatures w14:val="none"/>
              </w:rPr>
              <w:t xml:space="preserve"> longer</w:t>
            </w:r>
            <w:r w:rsidR="00230603" w:rsidRPr="00CC7B42">
              <w:rPr>
                <w:rFonts w:ascii="Arial" w:eastAsia="Times New Roman" w:hAnsi="Arial" w:cs="Arial"/>
                <w:kern w:val="0"/>
                <w:lang w:eastAsia="en-GB"/>
                <w14:ligatures w14:val="none"/>
              </w:rPr>
              <w:t>-</w:t>
            </w:r>
            <w:r w:rsidRPr="00CC7B42">
              <w:rPr>
                <w:rFonts w:ascii="Arial" w:eastAsia="Times New Roman" w:hAnsi="Arial" w:cs="Arial"/>
                <w:kern w:val="0"/>
                <w:lang w:eastAsia="en-GB"/>
                <w14:ligatures w14:val="none"/>
              </w:rPr>
              <w:t>term direction</w:t>
            </w:r>
            <w:r w:rsidR="00C0181D" w:rsidRPr="00CC7B42">
              <w:rPr>
                <w:rFonts w:ascii="Arial" w:eastAsia="Times New Roman" w:hAnsi="Arial" w:cs="Arial"/>
                <w:kern w:val="0"/>
                <w:lang w:eastAsia="en-GB"/>
                <w14:ligatures w14:val="none"/>
              </w:rPr>
              <w:t xml:space="preserve"> should entail</w:t>
            </w:r>
            <w:r w:rsidRPr="00CC7B42">
              <w:rPr>
                <w:rFonts w:ascii="Arial" w:eastAsia="Times New Roman" w:hAnsi="Arial" w:cs="Arial"/>
                <w:kern w:val="0"/>
                <w:lang w:eastAsia="en-GB"/>
                <w14:ligatures w14:val="none"/>
              </w:rPr>
              <w:t xml:space="preserve"> interoperability with </w:t>
            </w:r>
            <w:r w:rsidR="00C0181D" w:rsidRPr="00CC7B42">
              <w:rPr>
                <w:rFonts w:ascii="Arial" w:eastAsia="Times New Roman" w:hAnsi="Arial" w:cs="Arial"/>
                <w:kern w:val="0"/>
                <w:lang w:eastAsia="en-GB"/>
                <w14:ligatures w14:val="none"/>
              </w:rPr>
              <w:t xml:space="preserve">the </w:t>
            </w:r>
            <w:r w:rsidRPr="00CC7B42">
              <w:rPr>
                <w:rFonts w:ascii="Arial" w:eastAsia="Times New Roman" w:hAnsi="Arial" w:cs="Arial"/>
                <w:kern w:val="0"/>
                <w:lang w:eastAsia="en-GB"/>
                <w14:ligatures w14:val="none"/>
              </w:rPr>
              <w:t xml:space="preserve">ISO 20022 standard in implementations, </w:t>
            </w:r>
            <w:r w:rsidR="00230603" w:rsidRPr="00CC7B42">
              <w:rPr>
                <w:rFonts w:ascii="Arial" w:eastAsia="Times New Roman" w:hAnsi="Arial" w:cs="Arial"/>
                <w:kern w:val="0"/>
                <w:lang w:eastAsia="en-GB"/>
                <w14:ligatures w14:val="none"/>
              </w:rPr>
              <w:t xml:space="preserve">to allow existing industry solutions to be used where interoperable, while achieving </w:t>
            </w:r>
            <w:r w:rsidR="00230603" w:rsidRPr="00CC7B42">
              <w:rPr>
                <w:rFonts w:ascii="Arial" w:eastAsia="Times New Roman" w:hAnsi="Arial" w:cs="Arial"/>
                <w:kern w:val="0"/>
                <w:lang w:eastAsia="en-GB"/>
                <w14:ligatures w14:val="none"/>
              </w:rPr>
              <w:lastRenderedPageBreak/>
              <w:t>the benefits of alignment with a central standard</w:t>
            </w:r>
            <w:r w:rsidRPr="00CC7B42">
              <w:rPr>
                <w:rFonts w:ascii="Arial" w:eastAsia="Times New Roman" w:hAnsi="Arial" w:cs="Arial"/>
                <w:kern w:val="0"/>
                <w:lang w:eastAsia="en-GB"/>
                <w14:ligatures w14:val="none"/>
              </w:rPr>
              <w:t>.</w:t>
            </w:r>
          </w:p>
        </w:tc>
        <w:tc>
          <w:tcPr>
            <w:tcW w:w="1276" w:type="dxa"/>
            <w:shd w:val="clear" w:color="auto" w:fill="DAE9F7" w:themeFill="text2" w:themeFillTint="1A"/>
          </w:tcPr>
          <w:p w14:paraId="449940DE" w14:textId="01563F23"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Final</w:t>
            </w:r>
          </w:p>
        </w:tc>
      </w:tr>
      <w:tr w:rsidR="0038258F" w:rsidRPr="007329AB" w14:paraId="6BBF0BBA" w14:textId="77777777" w:rsidTr="0038258F">
        <w:trPr>
          <w:trHeight w:val="576"/>
        </w:trPr>
        <w:tc>
          <w:tcPr>
            <w:tcW w:w="7792" w:type="dxa"/>
            <w:shd w:val="clear" w:color="auto" w:fill="auto"/>
          </w:tcPr>
          <w:p w14:paraId="3A2418E0" w14:textId="130446A1"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Q15: Do you agree with the proposal of the EU Industry Task Force whereby allocation requirements should be aligned with CSD-level matching requirements? If not, please elaborate. </w:t>
            </w:r>
          </w:p>
        </w:tc>
        <w:tc>
          <w:tcPr>
            <w:tcW w:w="6066" w:type="dxa"/>
          </w:tcPr>
          <w:p w14:paraId="15DB2371" w14:textId="52D9C054"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 xml:space="preserve">The industry today has several vendor platforms that facilitate pre-settlement matching of allocations and confirmations, including identifying mis-matches, </w:t>
            </w:r>
            <w:r w:rsidR="002B630D" w:rsidRPr="00CC7B42">
              <w:rPr>
                <w:rFonts w:ascii="Arial" w:eastAsia="Times New Roman" w:hAnsi="Arial" w:cs="Arial"/>
                <w:kern w:val="0"/>
                <w:lang w:eastAsia="en-GB"/>
                <w14:ligatures w14:val="none"/>
              </w:rPr>
              <w:t>tolerances</w:t>
            </w:r>
            <w:r w:rsidRPr="00CC7B42">
              <w:rPr>
                <w:rFonts w:ascii="Arial" w:eastAsia="Times New Roman" w:hAnsi="Arial" w:cs="Arial"/>
                <w:kern w:val="0"/>
                <w:lang w:eastAsia="en-GB"/>
                <w14:ligatures w14:val="none"/>
              </w:rPr>
              <w:t>, etc. FIX is the standard that is heavily used by market participants and supported by these vendor platforms for this part of the STP chain as it naturally follows the pre-trade and trade activi</w:t>
            </w:r>
            <w:r w:rsidR="002B630D" w:rsidRPr="00CC7B42">
              <w:rPr>
                <w:rFonts w:ascii="Arial" w:eastAsia="Times New Roman" w:hAnsi="Arial" w:cs="Arial"/>
                <w:kern w:val="0"/>
                <w:lang w:eastAsia="en-GB"/>
                <w14:ligatures w14:val="none"/>
              </w:rPr>
              <w:t>ti</w:t>
            </w:r>
            <w:r w:rsidRPr="00CC7B42">
              <w:rPr>
                <w:rFonts w:ascii="Arial" w:eastAsia="Times New Roman" w:hAnsi="Arial" w:cs="Arial"/>
                <w:kern w:val="0"/>
                <w:lang w:eastAsia="en-GB"/>
                <w14:ligatures w14:val="none"/>
              </w:rPr>
              <w:t xml:space="preserve">es which FIX is the </w:t>
            </w:r>
            <w:r w:rsidR="002B630D" w:rsidRPr="00CC7B42">
              <w:rPr>
                <w:rFonts w:ascii="Arial" w:eastAsia="Times New Roman" w:hAnsi="Arial" w:cs="Arial"/>
                <w:kern w:val="0"/>
                <w:lang w:eastAsia="en-GB"/>
                <w14:ligatures w14:val="none"/>
              </w:rPr>
              <w:t>incumbent</w:t>
            </w:r>
            <w:r w:rsidRPr="00CC7B42">
              <w:rPr>
                <w:rFonts w:ascii="Arial" w:eastAsia="Times New Roman" w:hAnsi="Arial" w:cs="Arial"/>
                <w:kern w:val="0"/>
                <w:lang w:eastAsia="en-GB"/>
                <w14:ligatures w14:val="none"/>
              </w:rPr>
              <w:t xml:space="preserve"> standard. Additionally FIX is also used by asset managers who may have direct connections with their brokers and do their own local matching before affirming the confirmation for settlement. The data points suggested are conceptually similar to the matching rules used today.</w:t>
            </w:r>
          </w:p>
        </w:tc>
        <w:tc>
          <w:tcPr>
            <w:tcW w:w="1276" w:type="dxa"/>
            <w:shd w:val="clear" w:color="auto" w:fill="DAE9F7" w:themeFill="text2" w:themeFillTint="1A"/>
          </w:tcPr>
          <w:p w14:paraId="12EB6644" w14:textId="06B4414B"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569DD6DD" w14:textId="77777777" w:rsidTr="0038258F">
        <w:trPr>
          <w:trHeight w:val="576"/>
        </w:trPr>
        <w:tc>
          <w:tcPr>
            <w:tcW w:w="7792" w:type="dxa"/>
            <w:shd w:val="clear" w:color="auto" w:fill="auto"/>
          </w:tcPr>
          <w:p w14:paraId="59EDD2F8" w14:textId="58A098B8"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Q16: Can you suggest any other means to achieve the same objective? If yes, please elaborate.</w:t>
            </w:r>
          </w:p>
        </w:tc>
        <w:tc>
          <w:tcPr>
            <w:tcW w:w="6066" w:type="dxa"/>
          </w:tcPr>
          <w:p w14:paraId="13C360E5" w14:textId="6611B2E5" w:rsidR="0038258F" w:rsidRPr="00CC7B42" w:rsidRDefault="006D6F12" w:rsidP="002B630D">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As with our response in Q15, how and where matching is done should be left to the market participants. The most common models are local matching by the asset manager, or central matching. It should be noted that even within the central matching model, some asset managers may still require an explicit affirmation from them before settlement.</w:t>
            </w:r>
          </w:p>
        </w:tc>
        <w:tc>
          <w:tcPr>
            <w:tcW w:w="1276" w:type="dxa"/>
            <w:shd w:val="clear" w:color="auto" w:fill="DAE9F7" w:themeFill="text2" w:themeFillTint="1A"/>
          </w:tcPr>
          <w:p w14:paraId="4968DAC7" w14:textId="33C28763"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17714E26" w14:textId="77777777" w:rsidTr="00E95911">
        <w:trPr>
          <w:trHeight w:val="576"/>
        </w:trPr>
        <w:tc>
          <w:tcPr>
            <w:tcW w:w="7792" w:type="dxa"/>
            <w:shd w:val="clear" w:color="auto" w:fill="auto"/>
          </w:tcPr>
          <w:p w14:paraId="5DE4CA09" w14:textId="342EDC89"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Q17: Do you agree with the proposed regulatory change to introduce an obligation for investment firms to collect the data necessary to settle a trade from professional clients during their onboarding and to keep it updated? If not, please explain.</w:t>
            </w:r>
          </w:p>
        </w:tc>
        <w:tc>
          <w:tcPr>
            <w:tcW w:w="6066" w:type="dxa"/>
          </w:tcPr>
          <w:p w14:paraId="2D27A140" w14:textId="2967A35B"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recognise the need for accurate and complete data in advance of trade processing activities, noting of course that in a T+1 environment, any requirement to identify and repair data issues post-trade poses a threat to meeting settlement deadlines.</w:t>
            </w:r>
            <w:r w:rsidR="00FC03DD" w:rsidRPr="00CC7B42">
              <w:rPr>
                <w:rFonts w:ascii="Arial" w:eastAsia="Times New Roman" w:hAnsi="Arial" w:cs="Arial"/>
                <w:kern w:val="0"/>
                <w:lang w:eastAsia="en-GB"/>
                <w14:ligatures w14:val="none"/>
              </w:rPr>
              <w:t xml:space="preserve"> We are not convinced of the need for the introduction of a regulatory obligation </w:t>
            </w:r>
            <w:r w:rsidR="000B2A6C" w:rsidRPr="00CC7B42">
              <w:rPr>
                <w:rFonts w:ascii="Arial" w:eastAsia="Times New Roman" w:hAnsi="Arial" w:cs="Arial"/>
                <w:kern w:val="0"/>
                <w:lang w:eastAsia="en-GB"/>
                <w14:ligatures w14:val="none"/>
              </w:rPr>
              <w:t xml:space="preserve">in this regard, noting that industry participants are already strongly incentivised to </w:t>
            </w:r>
            <w:r w:rsidR="00E95911" w:rsidRPr="00CC7B42">
              <w:rPr>
                <w:rFonts w:ascii="Arial" w:eastAsia="Times New Roman" w:hAnsi="Arial" w:cs="Arial"/>
                <w:kern w:val="0"/>
                <w:lang w:eastAsia="en-GB"/>
                <w14:ligatures w14:val="none"/>
              </w:rPr>
              <w:t>avoid settlement failures caused by missing or inaccurate data, and these incentives become stronger in a T+1 environment.</w:t>
            </w:r>
          </w:p>
        </w:tc>
        <w:tc>
          <w:tcPr>
            <w:tcW w:w="1276" w:type="dxa"/>
            <w:shd w:val="clear" w:color="auto" w:fill="DAE9F7" w:themeFill="text2" w:themeFillTint="1A"/>
          </w:tcPr>
          <w:p w14:paraId="6461CFE4" w14:textId="48D09E1B" w:rsidR="00E95911"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11B330F3" w14:textId="77777777" w:rsidTr="0038258F">
        <w:trPr>
          <w:trHeight w:val="576"/>
        </w:trPr>
        <w:tc>
          <w:tcPr>
            <w:tcW w:w="7792" w:type="dxa"/>
            <w:shd w:val="clear" w:color="auto" w:fill="auto"/>
          </w:tcPr>
          <w:p w14:paraId="3DA33A85" w14:textId="7D154088"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Q37: Do you agree that the use of UTI should not be made mandatory through a regulatory change? </w:t>
            </w:r>
          </w:p>
        </w:tc>
        <w:tc>
          <w:tcPr>
            <w:tcW w:w="6066" w:type="dxa"/>
          </w:tcPr>
          <w:p w14:paraId="603EAA88" w14:textId="77777777"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believe this would help adoption of UTIs, though need to recognise that the logic for assigning and managing UTIs throughout complex transaction processes (for example, netting) needs to be well defined and maintain some flexibility in case scenarios are missed in such definitional analysis or new flows emerge.</w:t>
            </w:r>
          </w:p>
          <w:p w14:paraId="5BB26091" w14:textId="77777777" w:rsidR="0038258F" w:rsidRPr="00CC7B42" w:rsidRDefault="0038258F" w:rsidP="00CA7370">
            <w:pPr>
              <w:spacing w:after="0" w:line="240" w:lineRule="auto"/>
              <w:rPr>
                <w:rFonts w:ascii="Arial" w:eastAsia="Times New Roman" w:hAnsi="Arial" w:cs="Arial"/>
                <w:kern w:val="0"/>
                <w:lang w:eastAsia="en-GB"/>
                <w14:ligatures w14:val="none"/>
              </w:rPr>
            </w:pPr>
          </w:p>
          <w:p w14:paraId="3A08CBFF" w14:textId="1915A6A5"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Given this, our recommendation is we to allow market participants to decide on how UTI should be adopted to facilitate STP, developing market practices as required, rather than mandate the use of UTI at this time.</w:t>
            </w:r>
          </w:p>
        </w:tc>
        <w:tc>
          <w:tcPr>
            <w:tcW w:w="1276" w:type="dxa"/>
            <w:shd w:val="clear" w:color="auto" w:fill="DAE9F7" w:themeFill="text2" w:themeFillTint="1A"/>
          </w:tcPr>
          <w:p w14:paraId="7E86BAA4" w14:textId="064E540B"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Final</w:t>
            </w:r>
          </w:p>
        </w:tc>
      </w:tr>
      <w:tr w:rsidR="0038258F" w:rsidRPr="007329AB" w14:paraId="326AA45B" w14:textId="77777777" w:rsidTr="0038258F">
        <w:trPr>
          <w:trHeight w:val="576"/>
        </w:trPr>
        <w:tc>
          <w:tcPr>
            <w:tcW w:w="7792" w:type="dxa"/>
            <w:shd w:val="clear" w:color="auto" w:fill="auto"/>
          </w:tcPr>
          <w:p w14:paraId="6066F8F5" w14:textId="33599B77"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Q38: What are your views on the use of UTI in general and in the case of netted transactions specifically? </w:t>
            </w:r>
          </w:p>
        </w:tc>
        <w:tc>
          <w:tcPr>
            <w:tcW w:w="6066" w:type="dxa"/>
          </w:tcPr>
          <w:p w14:paraId="6969C038" w14:textId="400F36DA"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are supportive of use of UTI as a market practice. In cases such as netting of transactions, it is desirable to be able to chain the net together with the underlying transactions.</w:t>
            </w:r>
          </w:p>
        </w:tc>
        <w:tc>
          <w:tcPr>
            <w:tcW w:w="1276" w:type="dxa"/>
            <w:shd w:val="clear" w:color="auto" w:fill="DAE9F7" w:themeFill="text2" w:themeFillTint="1A"/>
          </w:tcPr>
          <w:p w14:paraId="19000FCB" w14:textId="05FAE27F"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121F3A7A" w14:textId="77777777" w:rsidTr="0038258F">
        <w:trPr>
          <w:trHeight w:val="576"/>
        </w:trPr>
        <w:tc>
          <w:tcPr>
            <w:tcW w:w="7792" w:type="dxa"/>
            <w:shd w:val="clear" w:color="auto" w:fill="auto"/>
          </w:tcPr>
          <w:p w14:paraId="29D63588" w14:textId="0FADFA07"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Q39: Should the market standards for the storage and exchange of SSIs be left to the industry or is regulatory action at EU level necessary?  </w:t>
            </w:r>
          </w:p>
        </w:tc>
        <w:tc>
          <w:tcPr>
            <w:tcW w:w="6066" w:type="dxa"/>
          </w:tcPr>
          <w:p w14:paraId="0E90F1F0" w14:textId="1F6653DD"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recommend leaving this to the industry. There are industry solutions in place and there is an opportunity here to encourage complete and consistent usage through development and adoption of market practice.</w:t>
            </w:r>
          </w:p>
          <w:p w14:paraId="75E70522" w14:textId="77777777" w:rsidR="0038258F" w:rsidRPr="00CC7B42" w:rsidRDefault="0038258F" w:rsidP="00CA7370">
            <w:pPr>
              <w:spacing w:after="0" w:line="240" w:lineRule="auto"/>
              <w:rPr>
                <w:rFonts w:ascii="Arial" w:eastAsia="Times New Roman" w:hAnsi="Arial" w:cs="Arial"/>
                <w:kern w:val="0"/>
                <w:lang w:eastAsia="en-GB"/>
                <w14:ligatures w14:val="none"/>
              </w:rPr>
            </w:pPr>
          </w:p>
          <w:p w14:paraId="19D06F23" w14:textId="4A23F146" w:rsidR="0038258F" w:rsidRPr="00CC7B42" w:rsidRDefault="0038258F" w:rsidP="0053599A">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We note there are various solutions available today for managing and communicating SSIs. For example, the FIX Protocol has messages for communicating SSIs, supports updating/receiving SSIs from central databases and supports the inclusion of SSIs on transactional messages (e.g., allocations, confirmations).</w:t>
            </w:r>
          </w:p>
        </w:tc>
        <w:tc>
          <w:tcPr>
            <w:tcW w:w="1276" w:type="dxa"/>
            <w:shd w:val="clear" w:color="auto" w:fill="DAE9F7" w:themeFill="text2" w:themeFillTint="1A"/>
          </w:tcPr>
          <w:p w14:paraId="6C444530" w14:textId="04CFD3F8"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128E208D" w14:textId="77777777" w:rsidTr="0038258F">
        <w:trPr>
          <w:trHeight w:val="576"/>
        </w:trPr>
        <w:tc>
          <w:tcPr>
            <w:tcW w:w="7792" w:type="dxa"/>
            <w:shd w:val="clear" w:color="auto" w:fill="auto"/>
          </w:tcPr>
          <w:p w14:paraId="3A469FC6" w14:textId="205D9132"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Q40: How can the PSET contribute to improve settlement efficiency and reduce settlement fails? Do you have suggestions on how to make the use of PSET more consistent across the market? If yes, please elaborate. </w:t>
            </w:r>
          </w:p>
        </w:tc>
        <w:tc>
          <w:tcPr>
            <w:tcW w:w="6066" w:type="dxa"/>
          </w:tcPr>
          <w:p w14:paraId="426C48C5" w14:textId="52F3B45F"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Including PSET has been proven to reduce certain categories of settlement failure, particularly where an instrument can be settled in multiple CSDs. Our belief is that making PSET a matching field should be left to the industry to develop market practice but having a standard for a list of PSETs would be beneficial. We would like to note that PSET is supported on FIX allocation messages for this purpose.</w:t>
            </w:r>
          </w:p>
        </w:tc>
        <w:tc>
          <w:tcPr>
            <w:tcW w:w="1276" w:type="dxa"/>
            <w:shd w:val="clear" w:color="auto" w:fill="DAE9F7" w:themeFill="text2" w:themeFillTint="1A"/>
          </w:tcPr>
          <w:p w14:paraId="4F307F3D" w14:textId="34037C8E"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000D8C1C" w14:textId="77777777" w:rsidTr="0038258F">
        <w:trPr>
          <w:trHeight w:val="576"/>
        </w:trPr>
        <w:tc>
          <w:tcPr>
            <w:tcW w:w="7792" w:type="dxa"/>
            <w:shd w:val="clear" w:color="auto" w:fill="auto"/>
          </w:tcPr>
          <w:p w14:paraId="6DE2135A" w14:textId="4097FCE9"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Arial" w:hAnsi="Arial" w:cs="Arial"/>
              </w:rPr>
              <w:t xml:space="preserve">Q41: Do you agree that the PSET should not be made a mandatory field of written allocations under Article 2(1) of CDR 2018/1229? If you have a different view, please elaborate. </w:t>
            </w:r>
          </w:p>
        </w:tc>
        <w:tc>
          <w:tcPr>
            <w:tcW w:w="6066" w:type="dxa"/>
          </w:tcPr>
          <w:p w14:paraId="150D5A76" w14:textId="136303E3"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As per Q40, we believe in principle that use of PSET should be encouraged but not a matching field. This is available on FIX allocation messages.</w:t>
            </w:r>
          </w:p>
        </w:tc>
        <w:tc>
          <w:tcPr>
            <w:tcW w:w="1276" w:type="dxa"/>
            <w:shd w:val="clear" w:color="auto" w:fill="DAE9F7" w:themeFill="text2" w:themeFillTint="1A"/>
          </w:tcPr>
          <w:p w14:paraId="3C541099" w14:textId="04CE148D"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615044A1" w14:textId="77777777" w:rsidTr="0038258F">
        <w:trPr>
          <w:trHeight w:val="576"/>
        </w:trPr>
        <w:tc>
          <w:tcPr>
            <w:tcW w:w="7792" w:type="dxa"/>
            <w:shd w:val="clear" w:color="auto" w:fill="auto"/>
          </w:tcPr>
          <w:p w14:paraId="4D564C76" w14:textId="21CE5701" w:rsidR="0038258F" w:rsidRPr="00CC7B42" w:rsidRDefault="0038258F" w:rsidP="00CA7370">
            <w:pPr>
              <w:spacing w:after="0" w:line="240" w:lineRule="auto"/>
              <w:rPr>
                <w:rFonts w:ascii="Arial" w:hAnsi="Arial" w:cs="Arial"/>
              </w:rPr>
            </w:pPr>
            <w:r w:rsidRPr="00CC7B42">
              <w:rPr>
                <w:rFonts w:ascii="Arial" w:eastAsia="Arial" w:hAnsi="Arial" w:cs="Arial"/>
              </w:rPr>
              <w:t xml:space="preserve">Q42: Do you agree that the decision to use the PSAF and the PSET in the settlement instructions should be left to the industry? </w:t>
            </w:r>
          </w:p>
        </w:tc>
        <w:tc>
          <w:tcPr>
            <w:tcW w:w="6066" w:type="dxa"/>
          </w:tcPr>
          <w:p w14:paraId="02C02862" w14:textId="4DF78983"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Yes, we believe the industry should develop market practice for this purpose.</w:t>
            </w:r>
          </w:p>
        </w:tc>
        <w:tc>
          <w:tcPr>
            <w:tcW w:w="1276" w:type="dxa"/>
            <w:shd w:val="clear" w:color="auto" w:fill="DAE9F7" w:themeFill="text2" w:themeFillTint="1A"/>
          </w:tcPr>
          <w:p w14:paraId="20D9DF17" w14:textId="70F72B34"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Final</w:t>
            </w:r>
          </w:p>
        </w:tc>
      </w:tr>
      <w:tr w:rsidR="0038258F" w:rsidRPr="007329AB" w14:paraId="54AA80D2" w14:textId="77777777" w:rsidTr="0038258F">
        <w:trPr>
          <w:trHeight w:val="576"/>
        </w:trPr>
        <w:tc>
          <w:tcPr>
            <w:tcW w:w="7792" w:type="dxa"/>
            <w:shd w:val="clear" w:color="auto" w:fill="auto"/>
          </w:tcPr>
          <w:p w14:paraId="29D8F527" w14:textId="24AF46B9" w:rsidR="0038258F" w:rsidRPr="00CC7B42" w:rsidRDefault="0038258F" w:rsidP="00CA7370">
            <w:pPr>
              <w:spacing w:after="0" w:line="240" w:lineRule="auto"/>
              <w:rPr>
                <w:rFonts w:ascii="Arial" w:hAnsi="Arial" w:cs="Arial"/>
              </w:rPr>
            </w:pPr>
            <w:r w:rsidRPr="00CC7B42">
              <w:rPr>
                <w:rFonts w:ascii="Arial" w:eastAsia="Arial" w:hAnsi="Arial" w:cs="Arial"/>
              </w:rPr>
              <w:t xml:space="preserve">Q44: Do you agree that the transaction type should not become a mandatory matching field under Article 5(4) of CDR 2018/1229? </w:t>
            </w:r>
          </w:p>
        </w:tc>
        <w:tc>
          <w:tcPr>
            <w:tcW w:w="6066" w:type="dxa"/>
          </w:tcPr>
          <w:p w14:paraId="0341B4CF" w14:textId="0F280B9A" w:rsidR="0038258F" w:rsidRPr="00CC7B42" w:rsidRDefault="0038258F"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t xml:space="preserve">We recognise the issue here and believe that usage of a transaction type schema will be beneficial to eliminate incorrect matches; however we support not making this a matching field at this time and recommend further work be done to refine the list of transaction types and consider the </w:t>
            </w:r>
            <w:r w:rsidRPr="00CC7B42">
              <w:rPr>
                <w:rFonts w:ascii="Arial" w:eastAsia="Times New Roman" w:hAnsi="Arial" w:cs="Arial"/>
                <w:kern w:val="0"/>
                <w:lang w:eastAsia="en-GB"/>
                <w14:ligatures w14:val="none"/>
              </w:rPr>
              <w:lastRenderedPageBreak/>
              <w:t>correct matching logic to use in order to achieve the highest levels of successful settlement.</w:t>
            </w:r>
          </w:p>
        </w:tc>
        <w:tc>
          <w:tcPr>
            <w:tcW w:w="1276" w:type="dxa"/>
            <w:shd w:val="clear" w:color="auto" w:fill="DAE9F7" w:themeFill="text2" w:themeFillTint="1A"/>
          </w:tcPr>
          <w:p w14:paraId="0AC2224C" w14:textId="55415CC1"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Final</w:t>
            </w:r>
          </w:p>
        </w:tc>
      </w:tr>
      <w:tr w:rsidR="0038258F" w:rsidRPr="007329AB" w14:paraId="5D96BE7F" w14:textId="77777777" w:rsidTr="0038258F">
        <w:trPr>
          <w:trHeight w:val="576"/>
        </w:trPr>
        <w:tc>
          <w:tcPr>
            <w:tcW w:w="7792" w:type="dxa"/>
            <w:shd w:val="clear" w:color="auto" w:fill="auto"/>
          </w:tcPr>
          <w:p w14:paraId="64E36B55" w14:textId="68206772" w:rsidR="0038258F" w:rsidRPr="00CC7B42" w:rsidRDefault="0038258F" w:rsidP="00CA7370">
            <w:pPr>
              <w:spacing w:after="0" w:line="240" w:lineRule="auto"/>
              <w:rPr>
                <w:rFonts w:ascii="Arial" w:hAnsi="Arial" w:cs="Arial"/>
              </w:rPr>
            </w:pPr>
            <w:r w:rsidRPr="00CC7B42">
              <w:rPr>
                <w:rFonts w:ascii="Arial" w:eastAsia="Arial" w:hAnsi="Arial" w:cs="Arial"/>
              </w:rPr>
              <w:t xml:space="preserve">Q52: Do you have other proposals regarding settlement discipline measures and tools to improve settlement efficiency in areas not covered in the previous sections? Please give examples and provide arguments and data where available. If relevant, please also include the specific proposed amendments to CDR 2018/1229. </w:t>
            </w:r>
          </w:p>
        </w:tc>
        <w:tc>
          <w:tcPr>
            <w:tcW w:w="6066" w:type="dxa"/>
          </w:tcPr>
          <w:p w14:paraId="32D4ED19" w14:textId="35C06FED" w:rsidR="0038258F" w:rsidRPr="00CC7B42" w:rsidRDefault="0038258F" w:rsidP="00D35001">
            <w:pPr>
              <w:spacing w:after="120" w:line="240" w:lineRule="auto"/>
              <w:rPr>
                <w:rFonts w:ascii="Arial" w:hAnsi="Arial" w:cs="Arial"/>
              </w:rPr>
            </w:pPr>
            <w:r w:rsidRPr="00CC7B42">
              <w:rPr>
                <w:rFonts w:ascii="Arial" w:hAnsi="Arial" w:cs="Arial"/>
              </w:rPr>
              <w:t>We would like to use this question as an opportunity to provide a summary of messaging and features supported by the FIX Protocol to facilitate post-trade processing.</w:t>
            </w:r>
          </w:p>
          <w:p w14:paraId="3E0CDAA7" w14:textId="697C6548" w:rsidR="0038258F" w:rsidRPr="00CC7B42" w:rsidRDefault="0038258F" w:rsidP="00D35001">
            <w:pPr>
              <w:spacing w:after="120" w:line="240" w:lineRule="auto"/>
              <w:rPr>
                <w:rFonts w:ascii="Arial" w:hAnsi="Arial" w:cs="Arial"/>
              </w:rPr>
            </w:pPr>
            <w:r w:rsidRPr="00CC7B42">
              <w:rPr>
                <w:rFonts w:ascii="Arial" w:hAnsi="Arial" w:cs="Arial"/>
              </w:rPr>
              <w:t>The FIX Protocol has a set of standard messages that facilitates certain post-trade and post-trade life cycle activities.  Once a trade is completed our Allocation and Confirmation suite of messages facilitates the interactions between buy-side and sell-side in communicating the allocation instructions (i.e. taking a block trade or a group of transactions and instructing its allocation across 1 or more end accounts) and subsequent confirmation, which the recipient can affirm, in order to ensure orderly and timely settlement.  Whilst settlement would occur over the SWIFT network using SWIFT MT messages (an implementation of ISO 15022 settlement messages) or MX messages (an implementation of equivalent ISO 20022 XML settlement messages), FIX has a set of messages that allows the sell-side or custodian to communicate the settlement status changes back up-stream to the client, our Settlement Status set of messages.</w:t>
            </w:r>
          </w:p>
          <w:p w14:paraId="0E2D1C8D" w14:textId="77777777" w:rsidR="0038258F" w:rsidRPr="00CC7B42" w:rsidRDefault="0038258F" w:rsidP="00D35001">
            <w:pPr>
              <w:spacing w:after="120" w:line="240" w:lineRule="auto"/>
              <w:rPr>
                <w:rFonts w:ascii="Arial" w:hAnsi="Arial" w:cs="Arial"/>
              </w:rPr>
            </w:pPr>
            <w:r w:rsidRPr="00CC7B42">
              <w:rPr>
                <w:rFonts w:ascii="Arial" w:hAnsi="Arial" w:cs="Arial"/>
              </w:rPr>
              <w:t>Separately FIX has messages for collateral management. These messages allow the participants in the trade to manage their collateral assignment and substitutions for transactions that need collateralization (e.g. repurchase agreements, or securities lending), request for collateral for a given trade, inquiring on collateral status.  These same collateral management set of messages works hand-in-hand with FIX's Margin management messages where the latter allows for inquiries into the status of the margin and the former can be used to request for collateral due to margin deficiencies, for example.</w:t>
            </w:r>
          </w:p>
          <w:p w14:paraId="73AD0591" w14:textId="77777777" w:rsidR="0038258F" w:rsidRPr="00CC7B42" w:rsidRDefault="0038258F" w:rsidP="00D35001">
            <w:pPr>
              <w:spacing w:after="120" w:line="240" w:lineRule="auto"/>
              <w:rPr>
                <w:rFonts w:ascii="Arial" w:hAnsi="Arial" w:cs="Arial"/>
              </w:rPr>
            </w:pPr>
            <w:r w:rsidRPr="00CC7B42">
              <w:rPr>
                <w:rFonts w:ascii="Arial" w:hAnsi="Arial" w:cs="Arial"/>
              </w:rPr>
              <w:t xml:space="preserve">Client on-boarding is a key aspect in the trading environment. FIX has a suite of messages related on-board clients that centres on setting up a client's relationships </w:t>
            </w:r>
            <w:r w:rsidRPr="00CC7B42">
              <w:rPr>
                <w:rFonts w:ascii="Arial" w:hAnsi="Arial" w:cs="Arial"/>
              </w:rPr>
              <w:lastRenderedPageBreak/>
              <w:t>(e.g. who they can enter trades for, who they clear through, etc.), defining their risk limits (e.g. credit, gross, long/short, margin, etc.), and their entitlements (e.g. allow to trade, allow to issue RFQ, etc.).  Separately in FIX's message that conveys executions for an order the current risk limit utilization can also be communication.</w:t>
            </w:r>
          </w:p>
          <w:p w14:paraId="4FBB7C4B" w14:textId="77777777" w:rsidR="0038258F" w:rsidRPr="00CC7B42" w:rsidRDefault="0038258F" w:rsidP="00D35001">
            <w:pPr>
              <w:spacing w:after="120" w:line="240" w:lineRule="auto"/>
              <w:rPr>
                <w:rFonts w:ascii="Arial" w:hAnsi="Arial" w:cs="Arial"/>
              </w:rPr>
            </w:pPr>
            <w:r w:rsidRPr="00CC7B42">
              <w:rPr>
                <w:rFonts w:ascii="Arial" w:hAnsi="Arial" w:cs="Arial"/>
              </w:rPr>
              <w:t>An ability to suspend a client from trading is a key action in limiting risks. FIX has messages to suspend, halt and reactivate a client's ability to trade. This type of "kill switch" is important for brokers that provide their clients with direct-market access capabilities.</w:t>
            </w:r>
          </w:p>
          <w:p w14:paraId="669C2362" w14:textId="5A8D3405" w:rsidR="0038258F" w:rsidRPr="00CC7B42" w:rsidRDefault="0038258F" w:rsidP="00D35001">
            <w:pPr>
              <w:spacing w:after="120" w:line="240" w:lineRule="auto"/>
              <w:rPr>
                <w:rFonts w:ascii="Arial" w:hAnsi="Arial" w:cs="Arial"/>
              </w:rPr>
            </w:pPr>
            <w:r w:rsidRPr="00CC7B42">
              <w:rPr>
                <w:rFonts w:ascii="Arial" w:hAnsi="Arial" w:cs="Arial"/>
              </w:rPr>
              <w:t>Pre-trade credit/risk limit checks is another aspect of ensuring that the client has sufficient credit to undertake a trade and to ensure that it would be cleared. Pre-trade credit/rick checks is a requirement in some markets to ensure clearing certainty, and to meet the trading community’s needs for this, FIX has messages to facilitate this type of pre-trade credit/risk limit checks.</w:t>
            </w:r>
          </w:p>
          <w:p w14:paraId="3282174A" w14:textId="151BF191" w:rsidR="0038258F" w:rsidRPr="00CC7B42" w:rsidRDefault="0038258F" w:rsidP="0038258F">
            <w:pPr>
              <w:spacing w:after="120" w:line="240" w:lineRule="auto"/>
              <w:rPr>
                <w:rFonts w:ascii="Arial" w:hAnsi="Arial" w:cs="Arial"/>
              </w:rPr>
            </w:pPr>
            <w:r w:rsidRPr="00CC7B42">
              <w:rPr>
                <w:rFonts w:ascii="Arial" w:hAnsi="Arial" w:cs="Arial"/>
              </w:rPr>
              <w:t>Lastly, FIX also has a set of messages to convey data (add, change, delete) into a standing settlement instruction (SSI) database and to query an SSI database.  Additionally in several FIX messages (e.g. when sending allocation instructions and confirmations) there exists components to convey specific SSI information within these messages.</w:t>
            </w:r>
          </w:p>
        </w:tc>
        <w:tc>
          <w:tcPr>
            <w:tcW w:w="1276" w:type="dxa"/>
            <w:shd w:val="clear" w:color="auto" w:fill="DAE9F7" w:themeFill="text2" w:themeFillTint="1A"/>
          </w:tcPr>
          <w:p w14:paraId="43C45251" w14:textId="4790437C" w:rsidR="0038258F" w:rsidRPr="00CC7B42" w:rsidRDefault="008953A9" w:rsidP="00CA7370">
            <w:pPr>
              <w:spacing w:after="0" w:line="240" w:lineRule="auto"/>
              <w:rPr>
                <w:rFonts w:ascii="Arial" w:eastAsia="Times New Roman" w:hAnsi="Arial" w:cs="Arial"/>
                <w:kern w:val="0"/>
                <w:lang w:eastAsia="en-GB"/>
                <w14:ligatures w14:val="none"/>
              </w:rPr>
            </w:pPr>
            <w:r w:rsidRPr="00CC7B42">
              <w:rPr>
                <w:rFonts w:ascii="Arial" w:eastAsia="Times New Roman" w:hAnsi="Arial" w:cs="Arial"/>
                <w:kern w:val="0"/>
                <w:lang w:eastAsia="en-GB"/>
                <w14:ligatures w14:val="none"/>
              </w:rPr>
              <w:lastRenderedPageBreak/>
              <w:t>Final</w:t>
            </w:r>
          </w:p>
        </w:tc>
      </w:tr>
    </w:tbl>
    <w:p w14:paraId="623BAF50" w14:textId="2AEB514E" w:rsidR="00261146" w:rsidRDefault="00261146" w:rsidP="0038258F">
      <w:pPr>
        <w:spacing w:after="120" w:line="240" w:lineRule="auto"/>
      </w:pPr>
    </w:p>
    <w:sectPr w:rsidR="00261146" w:rsidSect="0020757E">
      <w:footerReference w:type="default" r:id="rId1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B4F64" w14:textId="77777777" w:rsidR="00D2456C" w:rsidRDefault="00D2456C" w:rsidP="009A1CE7">
      <w:pPr>
        <w:spacing w:after="0" w:line="240" w:lineRule="auto"/>
      </w:pPr>
      <w:r>
        <w:separator/>
      </w:r>
    </w:p>
  </w:endnote>
  <w:endnote w:type="continuationSeparator" w:id="0">
    <w:p w14:paraId="435B34C8" w14:textId="77777777" w:rsidR="00D2456C" w:rsidRDefault="00D2456C" w:rsidP="009A1CE7">
      <w:pPr>
        <w:spacing w:after="0" w:line="240" w:lineRule="auto"/>
      </w:pPr>
      <w:r>
        <w:continuationSeparator/>
      </w:r>
    </w:p>
  </w:endnote>
  <w:endnote w:type="continuationNotice" w:id="1">
    <w:p w14:paraId="5883BBB0" w14:textId="77777777" w:rsidR="00D2456C" w:rsidRDefault="00D245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3022312"/>
      <w:docPartObj>
        <w:docPartGallery w:val="Page Numbers (Bottom of Page)"/>
        <w:docPartUnique/>
      </w:docPartObj>
    </w:sdtPr>
    <w:sdtEndPr/>
    <w:sdtContent>
      <w:p w14:paraId="012F5B84" w14:textId="0E61B3FA" w:rsidR="000E0B0A" w:rsidRDefault="000E0B0A">
        <w:pPr>
          <w:pStyle w:val="Footer"/>
          <w:jc w:val="center"/>
        </w:pPr>
        <w:r>
          <w:fldChar w:fldCharType="begin"/>
        </w:r>
        <w:r>
          <w:instrText>PAGE   \* MERGEFORMAT</w:instrText>
        </w:r>
        <w:r>
          <w:fldChar w:fldCharType="separate"/>
        </w:r>
        <w:r w:rsidR="00F579A9">
          <w:rPr>
            <w:noProof/>
          </w:rPr>
          <w:t>7</w:t>
        </w:r>
        <w:r>
          <w:fldChar w:fldCharType="end"/>
        </w:r>
      </w:p>
    </w:sdtContent>
  </w:sdt>
  <w:p w14:paraId="00365776" w14:textId="77777777" w:rsidR="000E0B0A" w:rsidRDefault="000E0B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20289" w14:textId="77777777" w:rsidR="00D2456C" w:rsidRDefault="00D2456C" w:rsidP="009A1CE7">
      <w:pPr>
        <w:spacing w:after="0" w:line="240" w:lineRule="auto"/>
      </w:pPr>
      <w:r>
        <w:separator/>
      </w:r>
    </w:p>
  </w:footnote>
  <w:footnote w:type="continuationSeparator" w:id="0">
    <w:p w14:paraId="40AE0DB4" w14:textId="77777777" w:rsidR="00D2456C" w:rsidRDefault="00D2456C" w:rsidP="009A1CE7">
      <w:pPr>
        <w:spacing w:after="0" w:line="240" w:lineRule="auto"/>
      </w:pPr>
      <w:r>
        <w:continuationSeparator/>
      </w:r>
    </w:p>
  </w:footnote>
  <w:footnote w:type="continuationNotice" w:id="1">
    <w:p w14:paraId="5C2C3019" w14:textId="77777777" w:rsidR="00D2456C" w:rsidRDefault="00D2456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EAA76C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643287"/>
    <w:multiLevelType w:val="hybridMultilevel"/>
    <w:tmpl w:val="61A46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0B595F"/>
    <w:multiLevelType w:val="hybridMultilevel"/>
    <w:tmpl w:val="C5667E04"/>
    <w:lvl w:ilvl="0" w:tplc="FAFE9F60">
      <w:start w:val="5"/>
      <w:numFmt w:val="lowerLetter"/>
      <w:lvlText w:val="(%1)"/>
      <w:lvlJc w:val="left"/>
      <w:pPr>
        <w:ind w:left="7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95B8491A">
      <w:start w:val="1"/>
      <w:numFmt w:val="lowerLetter"/>
      <w:lvlText w:val="(%2)"/>
      <w:lvlJc w:val="left"/>
      <w:pPr>
        <w:ind w:left="158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D1B49042">
      <w:start w:val="1"/>
      <w:numFmt w:val="lowerRoman"/>
      <w:lvlText w:val="(%3)"/>
      <w:lvlJc w:val="left"/>
      <w:pPr>
        <w:ind w:left="198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A726D174">
      <w:start w:val="1"/>
      <w:numFmt w:val="decimal"/>
      <w:lvlText w:val="%4"/>
      <w:lvlJc w:val="left"/>
      <w:pPr>
        <w:ind w:left="224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000401FE">
      <w:start w:val="1"/>
      <w:numFmt w:val="lowerLetter"/>
      <w:lvlText w:val="%5"/>
      <w:lvlJc w:val="left"/>
      <w:pPr>
        <w:ind w:left="296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D9FAE090">
      <w:start w:val="1"/>
      <w:numFmt w:val="lowerRoman"/>
      <w:lvlText w:val="%6"/>
      <w:lvlJc w:val="left"/>
      <w:pPr>
        <w:ind w:left="368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A1D4ACC2">
      <w:start w:val="1"/>
      <w:numFmt w:val="decimal"/>
      <w:lvlText w:val="%7"/>
      <w:lvlJc w:val="left"/>
      <w:pPr>
        <w:ind w:left="440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051078DC">
      <w:start w:val="1"/>
      <w:numFmt w:val="lowerLetter"/>
      <w:lvlText w:val="%8"/>
      <w:lvlJc w:val="left"/>
      <w:pPr>
        <w:ind w:left="51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2DE05876">
      <w:start w:val="1"/>
      <w:numFmt w:val="lowerRoman"/>
      <w:lvlText w:val="%9"/>
      <w:lvlJc w:val="left"/>
      <w:pPr>
        <w:ind w:left="584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 w15:restartNumberingAfterBreak="0">
    <w:nsid w:val="09B22697"/>
    <w:multiLevelType w:val="hybridMultilevel"/>
    <w:tmpl w:val="49D6123C"/>
    <w:lvl w:ilvl="0" w:tplc="046AD842">
      <w:start w:val="1"/>
      <w:numFmt w:val="decimal"/>
      <w:lvlText w:val="%1."/>
      <w:lvlJc w:val="left"/>
      <w:pPr>
        <w:ind w:left="1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DB223632">
      <w:start w:val="1"/>
      <w:numFmt w:val="lowerLetter"/>
      <w:lvlText w:val="(%2)"/>
      <w:lvlJc w:val="left"/>
      <w:pPr>
        <w:ind w:left="614"/>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7C6A8AF4">
      <w:start w:val="1"/>
      <w:numFmt w:val="lowerRoman"/>
      <w:lvlText w:val="%3"/>
      <w:lvlJc w:val="left"/>
      <w:pPr>
        <w:ind w:left="136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4DAE9CB8">
      <w:start w:val="1"/>
      <w:numFmt w:val="decimal"/>
      <w:lvlText w:val="%4"/>
      <w:lvlJc w:val="left"/>
      <w:pPr>
        <w:ind w:left="208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D2801B30">
      <w:start w:val="1"/>
      <w:numFmt w:val="lowerLetter"/>
      <w:lvlText w:val="%5"/>
      <w:lvlJc w:val="left"/>
      <w:pPr>
        <w:ind w:left="280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6694AF1A">
      <w:start w:val="1"/>
      <w:numFmt w:val="lowerRoman"/>
      <w:lvlText w:val="%6"/>
      <w:lvlJc w:val="left"/>
      <w:pPr>
        <w:ind w:left="352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022CD534">
      <w:start w:val="1"/>
      <w:numFmt w:val="decimal"/>
      <w:lvlText w:val="%7"/>
      <w:lvlJc w:val="left"/>
      <w:pPr>
        <w:ind w:left="424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DAC07862">
      <w:start w:val="1"/>
      <w:numFmt w:val="lowerLetter"/>
      <w:lvlText w:val="%8"/>
      <w:lvlJc w:val="left"/>
      <w:pPr>
        <w:ind w:left="496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B8E00230">
      <w:start w:val="1"/>
      <w:numFmt w:val="lowerRoman"/>
      <w:lvlText w:val="%9"/>
      <w:lvlJc w:val="left"/>
      <w:pPr>
        <w:ind w:left="568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4" w15:restartNumberingAfterBreak="0">
    <w:nsid w:val="0C734983"/>
    <w:multiLevelType w:val="hybridMultilevel"/>
    <w:tmpl w:val="E3B659EC"/>
    <w:lvl w:ilvl="0" w:tplc="1FDCB934">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73AC2D6C">
      <w:start w:val="1"/>
      <w:numFmt w:val="lowerLetter"/>
      <w:lvlText w:val="(%2)"/>
      <w:lvlJc w:val="left"/>
      <w:pPr>
        <w:ind w:left="89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D16E121E">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4DBC8F0C">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668476A6">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5AF49B54">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7564FF26">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D7686704">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89EA8162">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5" w15:restartNumberingAfterBreak="0">
    <w:nsid w:val="102B72B5"/>
    <w:multiLevelType w:val="hybridMultilevel"/>
    <w:tmpl w:val="9800C526"/>
    <w:lvl w:ilvl="0" w:tplc="0088D2BC">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EFA89C1C">
      <w:start w:val="1"/>
      <w:numFmt w:val="lowerLetter"/>
      <w:lvlText w:val="(%2)"/>
      <w:lvlJc w:val="left"/>
      <w:pPr>
        <w:ind w:left="89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59CE8740">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192E83D0">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652490E8">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B39E3A42">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85325594">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75025DD0">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77CC28B2">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6" w15:restartNumberingAfterBreak="0">
    <w:nsid w:val="167F36E4"/>
    <w:multiLevelType w:val="hybridMultilevel"/>
    <w:tmpl w:val="1090BE78"/>
    <w:lvl w:ilvl="0" w:tplc="AADEAA56">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504E488E">
      <w:start w:val="1"/>
      <w:numFmt w:val="lowerLetter"/>
      <w:lvlText w:val="(%2)"/>
      <w:lvlJc w:val="left"/>
      <w:pPr>
        <w:ind w:left="9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D6C24F3E">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5A1C3836">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DA601AB4">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BD2CF084">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88905D1C">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90EE622A">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579C5178">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7" w15:restartNumberingAfterBreak="0">
    <w:nsid w:val="1AB94EBE"/>
    <w:multiLevelType w:val="hybridMultilevel"/>
    <w:tmpl w:val="2B2233F8"/>
    <w:lvl w:ilvl="0" w:tplc="375655A6">
      <w:start w:val="1"/>
      <w:numFmt w:val="lowerLetter"/>
      <w:lvlText w:val="(%1)"/>
      <w:lvlJc w:val="left"/>
      <w:pPr>
        <w:ind w:left="333"/>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3B34C5BE">
      <w:start w:val="1"/>
      <w:numFmt w:val="lowerLetter"/>
      <w:lvlText w:val="%2"/>
      <w:lvlJc w:val="left"/>
      <w:pPr>
        <w:ind w:left="10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9FBED6CA">
      <w:start w:val="1"/>
      <w:numFmt w:val="lowerRoman"/>
      <w:lvlText w:val="%3"/>
      <w:lvlJc w:val="left"/>
      <w:pPr>
        <w:ind w:left="18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A43E58A4">
      <w:start w:val="1"/>
      <w:numFmt w:val="decimal"/>
      <w:lvlText w:val="%4"/>
      <w:lvlJc w:val="left"/>
      <w:pPr>
        <w:ind w:left="25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F03E3AB8">
      <w:start w:val="1"/>
      <w:numFmt w:val="lowerLetter"/>
      <w:lvlText w:val="%5"/>
      <w:lvlJc w:val="left"/>
      <w:pPr>
        <w:ind w:left="32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23C48846">
      <w:start w:val="1"/>
      <w:numFmt w:val="lowerRoman"/>
      <w:lvlText w:val="%6"/>
      <w:lvlJc w:val="left"/>
      <w:pPr>
        <w:ind w:left="39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7C4C0B0C">
      <w:start w:val="1"/>
      <w:numFmt w:val="decimal"/>
      <w:lvlText w:val="%7"/>
      <w:lvlJc w:val="left"/>
      <w:pPr>
        <w:ind w:left="46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46E891D6">
      <w:start w:val="1"/>
      <w:numFmt w:val="lowerLetter"/>
      <w:lvlText w:val="%8"/>
      <w:lvlJc w:val="left"/>
      <w:pPr>
        <w:ind w:left="54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32D43568">
      <w:start w:val="1"/>
      <w:numFmt w:val="lowerRoman"/>
      <w:lvlText w:val="%9"/>
      <w:lvlJc w:val="left"/>
      <w:pPr>
        <w:ind w:left="61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8" w15:restartNumberingAfterBreak="0">
    <w:nsid w:val="22222959"/>
    <w:multiLevelType w:val="hybridMultilevel"/>
    <w:tmpl w:val="F99EDDDC"/>
    <w:lvl w:ilvl="0" w:tplc="FD08B09C">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D28487E0">
      <w:start w:val="1"/>
      <w:numFmt w:val="lowerLetter"/>
      <w:lvlText w:val="%2"/>
      <w:lvlJc w:val="left"/>
      <w:pPr>
        <w:ind w:left="10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2AE4F6C8">
      <w:start w:val="1"/>
      <w:numFmt w:val="lowerRoman"/>
      <w:lvlText w:val="%3"/>
      <w:lvlJc w:val="left"/>
      <w:pPr>
        <w:ind w:left="18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1D905CD2">
      <w:start w:val="1"/>
      <w:numFmt w:val="decimal"/>
      <w:lvlText w:val="%4"/>
      <w:lvlJc w:val="left"/>
      <w:pPr>
        <w:ind w:left="25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6D1C59C6">
      <w:start w:val="1"/>
      <w:numFmt w:val="lowerLetter"/>
      <w:lvlText w:val="%5"/>
      <w:lvlJc w:val="left"/>
      <w:pPr>
        <w:ind w:left="324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7CBA7F44">
      <w:start w:val="1"/>
      <w:numFmt w:val="lowerRoman"/>
      <w:lvlText w:val="%6"/>
      <w:lvlJc w:val="left"/>
      <w:pPr>
        <w:ind w:left="396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C5803682">
      <w:start w:val="1"/>
      <w:numFmt w:val="decimal"/>
      <w:lvlText w:val="%7"/>
      <w:lvlJc w:val="left"/>
      <w:pPr>
        <w:ind w:left="46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71A8BE7E">
      <w:start w:val="1"/>
      <w:numFmt w:val="lowerLetter"/>
      <w:lvlText w:val="%8"/>
      <w:lvlJc w:val="left"/>
      <w:pPr>
        <w:ind w:left="54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7A0E0564">
      <w:start w:val="1"/>
      <w:numFmt w:val="lowerRoman"/>
      <w:lvlText w:val="%9"/>
      <w:lvlJc w:val="left"/>
      <w:pPr>
        <w:ind w:left="61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9" w15:restartNumberingAfterBreak="0">
    <w:nsid w:val="25CE1384"/>
    <w:multiLevelType w:val="hybridMultilevel"/>
    <w:tmpl w:val="D2B02CCC"/>
    <w:lvl w:ilvl="0" w:tplc="D586F438">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D2522876">
      <w:start w:val="1"/>
      <w:numFmt w:val="lowerLetter"/>
      <w:lvlText w:val="(%2)"/>
      <w:lvlJc w:val="left"/>
      <w:pPr>
        <w:ind w:left="89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878A2FD0">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A872A97C">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88E6769C">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D4AA088A">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0332E34A">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2946CA4A">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192E5E96">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10" w15:restartNumberingAfterBreak="0">
    <w:nsid w:val="2A500539"/>
    <w:multiLevelType w:val="hybridMultilevel"/>
    <w:tmpl w:val="132E0FB8"/>
    <w:lvl w:ilvl="0" w:tplc="08090005">
      <w:start w:val="1"/>
      <w:numFmt w:val="bullet"/>
      <w:lvlText w:val=""/>
      <w:lvlJc w:val="left"/>
      <w:pPr>
        <w:ind w:left="360" w:hanging="360"/>
      </w:pPr>
      <w:rPr>
        <w:rFonts w:ascii="Wingdings" w:hAnsi="Wingdings" w:cs="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BAF12B8"/>
    <w:multiLevelType w:val="hybridMultilevel"/>
    <w:tmpl w:val="E5A22E8C"/>
    <w:lvl w:ilvl="0" w:tplc="FFFFFFFF">
      <w:start w:val="1"/>
      <w:numFmt w:val="decimal"/>
      <w:lvlText w:val="%1."/>
      <w:lvlJc w:val="left"/>
      <w:pPr>
        <w:ind w:left="247"/>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FFFFFFFF">
      <w:start w:val="1"/>
      <w:numFmt w:val="lowerLetter"/>
      <w:lvlText w:val="(%2)"/>
      <w:lvlJc w:val="left"/>
      <w:pPr>
        <w:ind w:left="57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FFFFFFFF">
      <w:start w:val="1"/>
      <w:numFmt w:val="lowerRoman"/>
      <w:lvlText w:val="%3"/>
      <w:lvlJc w:val="left"/>
      <w:pPr>
        <w:ind w:left="16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FFFFFFFF">
      <w:start w:val="1"/>
      <w:numFmt w:val="decimal"/>
      <w:lvlText w:val="%4"/>
      <w:lvlJc w:val="left"/>
      <w:pPr>
        <w:ind w:left="23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FFFFFFFF">
      <w:start w:val="1"/>
      <w:numFmt w:val="lowerLetter"/>
      <w:lvlText w:val="%5"/>
      <w:lvlJc w:val="left"/>
      <w:pPr>
        <w:ind w:left="308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FFFFFFFF">
      <w:start w:val="1"/>
      <w:numFmt w:val="lowerRoman"/>
      <w:lvlText w:val="%6"/>
      <w:lvlJc w:val="left"/>
      <w:pPr>
        <w:ind w:left="380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FFFFFFFF">
      <w:start w:val="1"/>
      <w:numFmt w:val="decimal"/>
      <w:lvlText w:val="%7"/>
      <w:lvlJc w:val="left"/>
      <w:pPr>
        <w:ind w:left="452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FFFFFFFF">
      <w:start w:val="1"/>
      <w:numFmt w:val="lowerLetter"/>
      <w:lvlText w:val="%8"/>
      <w:lvlJc w:val="left"/>
      <w:pPr>
        <w:ind w:left="52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FFFFFFFF">
      <w:start w:val="1"/>
      <w:numFmt w:val="lowerRoman"/>
      <w:lvlText w:val="%9"/>
      <w:lvlJc w:val="left"/>
      <w:pPr>
        <w:ind w:left="59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12" w15:restartNumberingAfterBreak="0">
    <w:nsid w:val="2E233D6E"/>
    <w:multiLevelType w:val="hybridMultilevel"/>
    <w:tmpl w:val="CCAC8252"/>
    <w:lvl w:ilvl="0" w:tplc="062ACE26">
      <w:start w:val="3"/>
      <w:numFmt w:val="decimal"/>
      <w:lvlText w:val="%1."/>
      <w:lvlJc w:val="left"/>
      <w:pPr>
        <w:ind w:left="1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1FF2C75C">
      <w:start w:val="1"/>
      <w:numFmt w:val="lowerLetter"/>
      <w:lvlText w:val="%2"/>
      <w:lvlJc w:val="left"/>
      <w:pPr>
        <w:ind w:left="10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93C448D2">
      <w:start w:val="1"/>
      <w:numFmt w:val="lowerRoman"/>
      <w:lvlText w:val="%3"/>
      <w:lvlJc w:val="left"/>
      <w:pPr>
        <w:ind w:left="18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0164A268">
      <w:start w:val="1"/>
      <w:numFmt w:val="decimal"/>
      <w:lvlText w:val="%4"/>
      <w:lvlJc w:val="left"/>
      <w:pPr>
        <w:ind w:left="25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ED6E2F9C">
      <w:start w:val="1"/>
      <w:numFmt w:val="lowerLetter"/>
      <w:lvlText w:val="%5"/>
      <w:lvlJc w:val="left"/>
      <w:pPr>
        <w:ind w:left="32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FE966B36">
      <w:start w:val="1"/>
      <w:numFmt w:val="lowerRoman"/>
      <w:lvlText w:val="%6"/>
      <w:lvlJc w:val="left"/>
      <w:pPr>
        <w:ind w:left="39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7FE61866">
      <w:start w:val="1"/>
      <w:numFmt w:val="decimal"/>
      <w:lvlText w:val="%7"/>
      <w:lvlJc w:val="left"/>
      <w:pPr>
        <w:ind w:left="46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503A390E">
      <w:start w:val="1"/>
      <w:numFmt w:val="lowerLetter"/>
      <w:lvlText w:val="%8"/>
      <w:lvlJc w:val="left"/>
      <w:pPr>
        <w:ind w:left="54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5D502F22">
      <w:start w:val="1"/>
      <w:numFmt w:val="lowerRoman"/>
      <w:lvlText w:val="%9"/>
      <w:lvlJc w:val="left"/>
      <w:pPr>
        <w:ind w:left="61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13" w15:restartNumberingAfterBreak="0">
    <w:nsid w:val="30531607"/>
    <w:multiLevelType w:val="hybridMultilevel"/>
    <w:tmpl w:val="9EC44D9C"/>
    <w:lvl w:ilvl="0" w:tplc="B1686542">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F9DC1494">
      <w:start w:val="1"/>
      <w:numFmt w:val="lowerLetter"/>
      <w:lvlText w:val="(%2)"/>
      <w:lvlJc w:val="left"/>
      <w:pPr>
        <w:ind w:left="898"/>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DB862EDE">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772689AE">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766A6420">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A35462BA">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E2707EBA">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2C62259E">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93FA4C20">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14" w15:restartNumberingAfterBreak="0">
    <w:nsid w:val="34096835"/>
    <w:multiLevelType w:val="hybridMultilevel"/>
    <w:tmpl w:val="050AAFD2"/>
    <w:lvl w:ilvl="0" w:tplc="9C863E00">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FE78F9D6">
      <w:start w:val="1"/>
      <w:numFmt w:val="lowerLetter"/>
      <w:lvlText w:val="%2"/>
      <w:lvlJc w:val="left"/>
      <w:pPr>
        <w:ind w:left="10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41908D94">
      <w:start w:val="1"/>
      <w:numFmt w:val="lowerRoman"/>
      <w:lvlText w:val="%3"/>
      <w:lvlJc w:val="left"/>
      <w:pPr>
        <w:ind w:left="18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137AAEE0">
      <w:start w:val="1"/>
      <w:numFmt w:val="decimal"/>
      <w:lvlText w:val="%4"/>
      <w:lvlJc w:val="left"/>
      <w:pPr>
        <w:ind w:left="25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4C12E75A">
      <w:start w:val="1"/>
      <w:numFmt w:val="lowerLetter"/>
      <w:lvlText w:val="%5"/>
      <w:lvlJc w:val="left"/>
      <w:pPr>
        <w:ind w:left="324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24622A60">
      <w:start w:val="1"/>
      <w:numFmt w:val="lowerRoman"/>
      <w:lvlText w:val="%6"/>
      <w:lvlJc w:val="left"/>
      <w:pPr>
        <w:ind w:left="396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FB5C9C7E">
      <w:start w:val="1"/>
      <w:numFmt w:val="decimal"/>
      <w:lvlText w:val="%7"/>
      <w:lvlJc w:val="left"/>
      <w:pPr>
        <w:ind w:left="46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119E5D88">
      <w:start w:val="1"/>
      <w:numFmt w:val="lowerLetter"/>
      <w:lvlText w:val="%8"/>
      <w:lvlJc w:val="left"/>
      <w:pPr>
        <w:ind w:left="54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C0703316">
      <w:start w:val="1"/>
      <w:numFmt w:val="lowerRoman"/>
      <w:lvlText w:val="%9"/>
      <w:lvlJc w:val="left"/>
      <w:pPr>
        <w:ind w:left="61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15" w15:restartNumberingAfterBreak="0">
    <w:nsid w:val="3703202A"/>
    <w:multiLevelType w:val="hybridMultilevel"/>
    <w:tmpl w:val="6A76BC26"/>
    <w:lvl w:ilvl="0" w:tplc="709467F2">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3C9C913E">
      <w:start w:val="1"/>
      <w:numFmt w:val="lowerLetter"/>
      <w:lvlText w:val="(%2)"/>
      <w:lvlJc w:val="left"/>
      <w:pPr>
        <w:ind w:left="89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771E1F22">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E6F4BEF6">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9A649412">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0AC0A92E">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E11CA076">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68642162">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F3966E24">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16" w15:restartNumberingAfterBreak="0">
    <w:nsid w:val="38501C5C"/>
    <w:multiLevelType w:val="hybridMultilevel"/>
    <w:tmpl w:val="503A1020"/>
    <w:lvl w:ilvl="0" w:tplc="FE0CC7F0">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D2546EA2">
      <w:start w:val="1"/>
      <w:numFmt w:val="lowerLetter"/>
      <w:lvlText w:val="(%2)"/>
      <w:lvlJc w:val="left"/>
      <w:pPr>
        <w:ind w:left="898"/>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C27ED5CA">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276A7B38">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B052C92E">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5EF0A340">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35FA359A">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DFAA2246">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1EE45E34">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17" w15:restartNumberingAfterBreak="0">
    <w:nsid w:val="387E6C0E"/>
    <w:multiLevelType w:val="hybridMultilevel"/>
    <w:tmpl w:val="53B4A4E4"/>
    <w:lvl w:ilvl="0" w:tplc="5FDE3E84">
      <w:start w:val="1"/>
      <w:numFmt w:val="decimal"/>
      <w:lvlText w:val="%1."/>
      <w:lvlJc w:val="left"/>
      <w:pPr>
        <w:ind w:left="1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9F70215A">
      <w:start w:val="1"/>
      <w:numFmt w:val="lowerLetter"/>
      <w:lvlText w:val="%2"/>
      <w:lvlJc w:val="left"/>
      <w:pPr>
        <w:ind w:left="10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C104542C">
      <w:start w:val="1"/>
      <w:numFmt w:val="lowerRoman"/>
      <w:lvlText w:val="%3"/>
      <w:lvlJc w:val="left"/>
      <w:pPr>
        <w:ind w:left="18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B6D45068">
      <w:start w:val="1"/>
      <w:numFmt w:val="decimal"/>
      <w:lvlText w:val="%4"/>
      <w:lvlJc w:val="left"/>
      <w:pPr>
        <w:ind w:left="25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04E2C73C">
      <w:start w:val="1"/>
      <w:numFmt w:val="lowerLetter"/>
      <w:lvlText w:val="%5"/>
      <w:lvlJc w:val="left"/>
      <w:pPr>
        <w:ind w:left="32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BBFEB496">
      <w:start w:val="1"/>
      <w:numFmt w:val="lowerRoman"/>
      <w:lvlText w:val="%6"/>
      <w:lvlJc w:val="left"/>
      <w:pPr>
        <w:ind w:left="39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5C244074">
      <w:start w:val="1"/>
      <w:numFmt w:val="decimal"/>
      <w:lvlText w:val="%7"/>
      <w:lvlJc w:val="left"/>
      <w:pPr>
        <w:ind w:left="46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1E004DBA">
      <w:start w:val="1"/>
      <w:numFmt w:val="lowerLetter"/>
      <w:lvlText w:val="%8"/>
      <w:lvlJc w:val="left"/>
      <w:pPr>
        <w:ind w:left="54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61DA5F12">
      <w:start w:val="1"/>
      <w:numFmt w:val="lowerRoman"/>
      <w:lvlText w:val="%9"/>
      <w:lvlJc w:val="left"/>
      <w:pPr>
        <w:ind w:left="61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18" w15:restartNumberingAfterBreak="0">
    <w:nsid w:val="3B2C4E90"/>
    <w:multiLevelType w:val="hybridMultilevel"/>
    <w:tmpl w:val="57ACFD24"/>
    <w:lvl w:ilvl="0" w:tplc="140E9FB4">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414A00AC">
      <w:start w:val="1"/>
      <w:numFmt w:val="lowerLetter"/>
      <w:lvlText w:val="(%2)"/>
      <w:lvlJc w:val="left"/>
      <w:pPr>
        <w:ind w:left="898"/>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3CECB626">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50AEB4A6">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FB6E6EEA">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889A267E">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1B9E047C">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5D96AFEC">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933A8CEC">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19" w15:restartNumberingAfterBreak="0">
    <w:nsid w:val="3C141D82"/>
    <w:multiLevelType w:val="hybridMultilevel"/>
    <w:tmpl w:val="8B221E2E"/>
    <w:lvl w:ilvl="0" w:tplc="4AE6C82A">
      <w:start w:val="1"/>
      <w:numFmt w:val="decimal"/>
      <w:lvlText w:val="%1."/>
      <w:lvlJc w:val="left"/>
      <w:pPr>
        <w:ind w:left="1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6ACCAB60">
      <w:start w:val="1"/>
      <w:numFmt w:val="lowerLetter"/>
      <w:lvlText w:val="(%2)"/>
      <w:lvlJc w:val="left"/>
      <w:pPr>
        <w:ind w:left="898"/>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20B66D00">
      <w:start w:val="1"/>
      <w:numFmt w:val="lowerRoman"/>
      <w:lvlText w:val="%3"/>
      <w:lvlJc w:val="left"/>
      <w:pPr>
        <w:ind w:left="16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06E8409E">
      <w:start w:val="1"/>
      <w:numFmt w:val="decimal"/>
      <w:lvlText w:val="%4"/>
      <w:lvlJc w:val="left"/>
      <w:pPr>
        <w:ind w:left="23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55FC22BC">
      <w:start w:val="1"/>
      <w:numFmt w:val="lowerLetter"/>
      <w:lvlText w:val="%5"/>
      <w:lvlJc w:val="left"/>
      <w:pPr>
        <w:ind w:left="308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F4BC934C">
      <w:start w:val="1"/>
      <w:numFmt w:val="lowerRoman"/>
      <w:lvlText w:val="%6"/>
      <w:lvlJc w:val="left"/>
      <w:pPr>
        <w:ind w:left="380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5A28487A">
      <w:start w:val="1"/>
      <w:numFmt w:val="decimal"/>
      <w:lvlText w:val="%7"/>
      <w:lvlJc w:val="left"/>
      <w:pPr>
        <w:ind w:left="452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F2789B2C">
      <w:start w:val="1"/>
      <w:numFmt w:val="lowerLetter"/>
      <w:lvlText w:val="%8"/>
      <w:lvlJc w:val="left"/>
      <w:pPr>
        <w:ind w:left="52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75D29CCA">
      <w:start w:val="1"/>
      <w:numFmt w:val="lowerRoman"/>
      <w:lvlText w:val="%9"/>
      <w:lvlJc w:val="left"/>
      <w:pPr>
        <w:ind w:left="59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20" w15:restartNumberingAfterBreak="0">
    <w:nsid w:val="44A7782B"/>
    <w:multiLevelType w:val="hybridMultilevel"/>
    <w:tmpl w:val="C72A344A"/>
    <w:lvl w:ilvl="0" w:tplc="4D6A4F90">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B2E6927A">
      <w:start w:val="1"/>
      <w:numFmt w:val="lowerLetter"/>
      <w:lvlText w:val="(%2)"/>
      <w:lvlJc w:val="left"/>
      <w:pPr>
        <w:ind w:left="898"/>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E85CC8DA">
      <w:start w:val="1"/>
      <w:numFmt w:val="lowerRoman"/>
      <w:lvlText w:val="(%3)"/>
      <w:lvlJc w:val="left"/>
      <w:pPr>
        <w:ind w:left="1488"/>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F15264DA">
      <w:start w:val="1"/>
      <w:numFmt w:val="decimal"/>
      <w:lvlText w:val="%4"/>
      <w:lvlJc w:val="left"/>
      <w:pPr>
        <w:ind w:left="221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5C2697A8">
      <w:start w:val="1"/>
      <w:numFmt w:val="lowerLetter"/>
      <w:lvlText w:val="%5"/>
      <w:lvlJc w:val="left"/>
      <w:pPr>
        <w:ind w:left="293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74E87876">
      <w:start w:val="1"/>
      <w:numFmt w:val="lowerRoman"/>
      <w:lvlText w:val="%6"/>
      <w:lvlJc w:val="left"/>
      <w:pPr>
        <w:ind w:left="365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E714B030">
      <w:start w:val="1"/>
      <w:numFmt w:val="decimal"/>
      <w:lvlText w:val="%7"/>
      <w:lvlJc w:val="left"/>
      <w:pPr>
        <w:ind w:left="437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C3A2C3E0">
      <w:start w:val="1"/>
      <w:numFmt w:val="lowerLetter"/>
      <w:lvlText w:val="%8"/>
      <w:lvlJc w:val="left"/>
      <w:pPr>
        <w:ind w:left="509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FC5CFFE4">
      <w:start w:val="1"/>
      <w:numFmt w:val="lowerRoman"/>
      <w:lvlText w:val="%9"/>
      <w:lvlJc w:val="left"/>
      <w:pPr>
        <w:ind w:left="581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21" w15:restartNumberingAfterBreak="0">
    <w:nsid w:val="4E805CF8"/>
    <w:multiLevelType w:val="hybridMultilevel"/>
    <w:tmpl w:val="DB4A2436"/>
    <w:lvl w:ilvl="0" w:tplc="9CFCF860">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3F00642A">
      <w:start w:val="1"/>
      <w:numFmt w:val="lowerLetter"/>
      <w:lvlText w:val="(%2)"/>
      <w:lvlJc w:val="left"/>
      <w:pPr>
        <w:ind w:left="9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3986390E">
      <w:start w:val="1"/>
      <w:numFmt w:val="lowerRoman"/>
      <w:lvlText w:val="(%3)"/>
      <w:lvlJc w:val="left"/>
      <w:pPr>
        <w:ind w:left="1488"/>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3AECD49E">
      <w:start w:val="1"/>
      <w:numFmt w:val="decimal"/>
      <w:lvlText w:val="%4"/>
      <w:lvlJc w:val="left"/>
      <w:pPr>
        <w:ind w:left="221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5000A626">
      <w:start w:val="1"/>
      <w:numFmt w:val="lowerLetter"/>
      <w:lvlText w:val="%5"/>
      <w:lvlJc w:val="left"/>
      <w:pPr>
        <w:ind w:left="293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A25E6296">
      <w:start w:val="1"/>
      <w:numFmt w:val="lowerRoman"/>
      <w:lvlText w:val="%6"/>
      <w:lvlJc w:val="left"/>
      <w:pPr>
        <w:ind w:left="365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8EAE29AE">
      <w:start w:val="1"/>
      <w:numFmt w:val="decimal"/>
      <w:lvlText w:val="%7"/>
      <w:lvlJc w:val="left"/>
      <w:pPr>
        <w:ind w:left="437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42B2222E">
      <w:start w:val="1"/>
      <w:numFmt w:val="lowerLetter"/>
      <w:lvlText w:val="%8"/>
      <w:lvlJc w:val="left"/>
      <w:pPr>
        <w:ind w:left="509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C5B4394C">
      <w:start w:val="1"/>
      <w:numFmt w:val="lowerRoman"/>
      <w:lvlText w:val="%9"/>
      <w:lvlJc w:val="left"/>
      <w:pPr>
        <w:ind w:left="5813"/>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22" w15:restartNumberingAfterBreak="0">
    <w:nsid w:val="4F43082C"/>
    <w:multiLevelType w:val="hybridMultilevel"/>
    <w:tmpl w:val="598CEAD6"/>
    <w:lvl w:ilvl="0" w:tplc="C47EB95C">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A7921C64">
      <w:start w:val="1"/>
      <w:numFmt w:val="lowerLetter"/>
      <w:lvlText w:val="%2"/>
      <w:lvlJc w:val="left"/>
      <w:pPr>
        <w:ind w:left="10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80FE1DA2">
      <w:start w:val="1"/>
      <w:numFmt w:val="lowerRoman"/>
      <w:lvlText w:val="%3"/>
      <w:lvlJc w:val="left"/>
      <w:pPr>
        <w:ind w:left="18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2A22D60C">
      <w:start w:val="1"/>
      <w:numFmt w:val="decimal"/>
      <w:lvlText w:val="%4"/>
      <w:lvlJc w:val="left"/>
      <w:pPr>
        <w:ind w:left="25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271A7776">
      <w:start w:val="1"/>
      <w:numFmt w:val="lowerLetter"/>
      <w:lvlText w:val="%5"/>
      <w:lvlJc w:val="left"/>
      <w:pPr>
        <w:ind w:left="324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47367A66">
      <w:start w:val="1"/>
      <w:numFmt w:val="lowerRoman"/>
      <w:lvlText w:val="%6"/>
      <w:lvlJc w:val="left"/>
      <w:pPr>
        <w:ind w:left="396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39F272FE">
      <w:start w:val="1"/>
      <w:numFmt w:val="decimal"/>
      <w:lvlText w:val="%7"/>
      <w:lvlJc w:val="left"/>
      <w:pPr>
        <w:ind w:left="46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E4CE3958">
      <w:start w:val="1"/>
      <w:numFmt w:val="lowerLetter"/>
      <w:lvlText w:val="%8"/>
      <w:lvlJc w:val="left"/>
      <w:pPr>
        <w:ind w:left="54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567C35DA">
      <w:start w:val="1"/>
      <w:numFmt w:val="lowerRoman"/>
      <w:lvlText w:val="%9"/>
      <w:lvlJc w:val="left"/>
      <w:pPr>
        <w:ind w:left="61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23" w15:restartNumberingAfterBreak="0">
    <w:nsid w:val="51E867A3"/>
    <w:multiLevelType w:val="hybridMultilevel"/>
    <w:tmpl w:val="2ABCCA78"/>
    <w:lvl w:ilvl="0" w:tplc="E5908AF2">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D01C4B2C">
      <w:start w:val="1"/>
      <w:numFmt w:val="lowerLetter"/>
      <w:lvlText w:val="(%2)"/>
      <w:lvlJc w:val="left"/>
      <w:pPr>
        <w:ind w:left="89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24F65A70">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033A1094">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59EE7D6A">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BA8C12CA">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1E7CC0E4">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99A602FC">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F2043A3A">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24" w15:restartNumberingAfterBreak="0">
    <w:nsid w:val="598870FE"/>
    <w:multiLevelType w:val="hybridMultilevel"/>
    <w:tmpl w:val="2BFCB66C"/>
    <w:lvl w:ilvl="0" w:tplc="BA8AF130">
      <w:start w:val="1"/>
      <w:numFmt w:val="decimal"/>
      <w:lvlText w:val="%1."/>
      <w:lvlJc w:val="left"/>
      <w:pPr>
        <w:ind w:left="1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6E703A52">
      <w:start w:val="1"/>
      <w:numFmt w:val="lowerLetter"/>
      <w:lvlText w:val="(%2)"/>
      <w:lvlJc w:val="left"/>
      <w:pPr>
        <w:ind w:left="837"/>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C9069572">
      <w:start w:val="1"/>
      <w:numFmt w:val="lowerRoman"/>
      <w:lvlText w:val="%3"/>
      <w:lvlJc w:val="left"/>
      <w:pPr>
        <w:ind w:left="16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A80659F8">
      <w:start w:val="1"/>
      <w:numFmt w:val="decimal"/>
      <w:lvlText w:val="%4"/>
      <w:lvlJc w:val="left"/>
      <w:pPr>
        <w:ind w:left="23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D1DEAEF0">
      <w:start w:val="1"/>
      <w:numFmt w:val="lowerLetter"/>
      <w:lvlText w:val="%5"/>
      <w:lvlJc w:val="left"/>
      <w:pPr>
        <w:ind w:left="308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C1ECFAD6">
      <w:start w:val="1"/>
      <w:numFmt w:val="lowerRoman"/>
      <w:lvlText w:val="%6"/>
      <w:lvlJc w:val="left"/>
      <w:pPr>
        <w:ind w:left="380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80C8087A">
      <w:start w:val="1"/>
      <w:numFmt w:val="decimal"/>
      <w:lvlText w:val="%7"/>
      <w:lvlJc w:val="left"/>
      <w:pPr>
        <w:ind w:left="452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B394E188">
      <w:start w:val="1"/>
      <w:numFmt w:val="lowerLetter"/>
      <w:lvlText w:val="%8"/>
      <w:lvlJc w:val="left"/>
      <w:pPr>
        <w:ind w:left="52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D2360286">
      <w:start w:val="1"/>
      <w:numFmt w:val="lowerRoman"/>
      <w:lvlText w:val="%9"/>
      <w:lvlJc w:val="left"/>
      <w:pPr>
        <w:ind w:left="59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25" w15:restartNumberingAfterBreak="0">
    <w:nsid w:val="64857E0E"/>
    <w:multiLevelType w:val="hybridMultilevel"/>
    <w:tmpl w:val="42BC76CA"/>
    <w:lvl w:ilvl="0" w:tplc="8764AA34">
      <w:start w:val="1"/>
      <w:numFmt w:val="decimal"/>
      <w:lvlText w:val="%1."/>
      <w:lvlJc w:val="left"/>
      <w:pPr>
        <w:ind w:left="24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16CCFB82">
      <w:start w:val="1"/>
      <w:numFmt w:val="lowerLetter"/>
      <w:lvlText w:val="(%2)"/>
      <w:lvlJc w:val="left"/>
      <w:pPr>
        <w:ind w:left="897"/>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43125E72">
      <w:start w:val="1"/>
      <w:numFmt w:val="lowerRoman"/>
      <w:lvlText w:val="%3"/>
      <w:lvlJc w:val="left"/>
      <w:pPr>
        <w:ind w:left="16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9346545E">
      <w:start w:val="1"/>
      <w:numFmt w:val="decimal"/>
      <w:lvlText w:val="%4"/>
      <w:lvlJc w:val="left"/>
      <w:pPr>
        <w:ind w:left="23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EFC63092">
      <w:start w:val="1"/>
      <w:numFmt w:val="lowerLetter"/>
      <w:lvlText w:val="%5"/>
      <w:lvlJc w:val="left"/>
      <w:pPr>
        <w:ind w:left="308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9F82B972">
      <w:start w:val="1"/>
      <w:numFmt w:val="lowerRoman"/>
      <w:lvlText w:val="%6"/>
      <w:lvlJc w:val="left"/>
      <w:pPr>
        <w:ind w:left="380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DAEC51BA">
      <w:start w:val="1"/>
      <w:numFmt w:val="decimal"/>
      <w:lvlText w:val="%7"/>
      <w:lvlJc w:val="left"/>
      <w:pPr>
        <w:ind w:left="452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A8E2658C">
      <w:start w:val="1"/>
      <w:numFmt w:val="lowerLetter"/>
      <w:lvlText w:val="%8"/>
      <w:lvlJc w:val="left"/>
      <w:pPr>
        <w:ind w:left="524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37DEA87A">
      <w:start w:val="1"/>
      <w:numFmt w:val="lowerRoman"/>
      <w:lvlText w:val="%9"/>
      <w:lvlJc w:val="left"/>
      <w:pPr>
        <w:ind w:left="5966"/>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abstractNum w:abstractNumId="26" w15:restartNumberingAfterBreak="0">
    <w:nsid w:val="68886C17"/>
    <w:multiLevelType w:val="hybridMultilevel"/>
    <w:tmpl w:val="E5A22E8C"/>
    <w:lvl w:ilvl="0" w:tplc="090684DE">
      <w:start w:val="1"/>
      <w:numFmt w:val="decimal"/>
      <w:lvlText w:val="%1."/>
      <w:lvlJc w:val="left"/>
      <w:pPr>
        <w:ind w:left="247"/>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DFB8551A">
      <w:start w:val="1"/>
      <w:numFmt w:val="lowerLetter"/>
      <w:lvlText w:val="(%2)"/>
      <w:lvlJc w:val="left"/>
      <w:pPr>
        <w:ind w:left="57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1A187A4E">
      <w:start w:val="1"/>
      <w:numFmt w:val="lowerRoman"/>
      <w:lvlText w:val="%3"/>
      <w:lvlJc w:val="left"/>
      <w:pPr>
        <w:ind w:left="16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8D3CB64A">
      <w:start w:val="1"/>
      <w:numFmt w:val="decimal"/>
      <w:lvlText w:val="%4"/>
      <w:lvlJc w:val="left"/>
      <w:pPr>
        <w:ind w:left="23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CB8A082C">
      <w:start w:val="1"/>
      <w:numFmt w:val="lowerLetter"/>
      <w:lvlText w:val="%5"/>
      <w:lvlJc w:val="left"/>
      <w:pPr>
        <w:ind w:left="308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F0DA6256">
      <w:start w:val="1"/>
      <w:numFmt w:val="lowerRoman"/>
      <w:lvlText w:val="%6"/>
      <w:lvlJc w:val="left"/>
      <w:pPr>
        <w:ind w:left="380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E19A62F0">
      <w:start w:val="1"/>
      <w:numFmt w:val="decimal"/>
      <w:lvlText w:val="%7"/>
      <w:lvlJc w:val="left"/>
      <w:pPr>
        <w:ind w:left="452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E812BE1A">
      <w:start w:val="1"/>
      <w:numFmt w:val="lowerLetter"/>
      <w:lvlText w:val="%8"/>
      <w:lvlJc w:val="left"/>
      <w:pPr>
        <w:ind w:left="52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7A1852A2">
      <w:start w:val="1"/>
      <w:numFmt w:val="lowerRoman"/>
      <w:lvlText w:val="%9"/>
      <w:lvlJc w:val="left"/>
      <w:pPr>
        <w:ind w:left="59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27" w15:restartNumberingAfterBreak="0">
    <w:nsid w:val="6E8E7A8A"/>
    <w:multiLevelType w:val="hybridMultilevel"/>
    <w:tmpl w:val="98CC2F12"/>
    <w:lvl w:ilvl="0" w:tplc="34B8C4A4">
      <w:start w:val="1"/>
      <w:numFmt w:val="lowerLetter"/>
      <w:lvlText w:val="(%1)"/>
      <w:lvlJc w:val="left"/>
      <w:pPr>
        <w:ind w:left="331"/>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50C2A922">
      <w:start w:val="1"/>
      <w:numFmt w:val="lowerLetter"/>
      <w:lvlText w:val="%2"/>
      <w:lvlJc w:val="left"/>
      <w:pPr>
        <w:ind w:left="10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220A2D74">
      <w:start w:val="1"/>
      <w:numFmt w:val="lowerRoman"/>
      <w:lvlText w:val="%3"/>
      <w:lvlJc w:val="left"/>
      <w:pPr>
        <w:ind w:left="18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460EF828">
      <w:start w:val="1"/>
      <w:numFmt w:val="decimal"/>
      <w:lvlText w:val="%4"/>
      <w:lvlJc w:val="left"/>
      <w:pPr>
        <w:ind w:left="25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ACFE1942">
      <w:start w:val="1"/>
      <w:numFmt w:val="lowerLetter"/>
      <w:lvlText w:val="%5"/>
      <w:lvlJc w:val="left"/>
      <w:pPr>
        <w:ind w:left="32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4A843C3E">
      <w:start w:val="1"/>
      <w:numFmt w:val="lowerRoman"/>
      <w:lvlText w:val="%6"/>
      <w:lvlJc w:val="left"/>
      <w:pPr>
        <w:ind w:left="39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7090B886">
      <w:start w:val="1"/>
      <w:numFmt w:val="decimal"/>
      <w:lvlText w:val="%7"/>
      <w:lvlJc w:val="left"/>
      <w:pPr>
        <w:ind w:left="46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706E9804">
      <w:start w:val="1"/>
      <w:numFmt w:val="lowerLetter"/>
      <w:lvlText w:val="%8"/>
      <w:lvlJc w:val="left"/>
      <w:pPr>
        <w:ind w:left="54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49466B38">
      <w:start w:val="1"/>
      <w:numFmt w:val="lowerRoman"/>
      <w:lvlText w:val="%9"/>
      <w:lvlJc w:val="left"/>
      <w:pPr>
        <w:ind w:left="61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28" w15:restartNumberingAfterBreak="0">
    <w:nsid w:val="79FC1B2E"/>
    <w:multiLevelType w:val="hybridMultilevel"/>
    <w:tmpl w:val="DA4ADF62"/>
    <w:lvl w:ilvl="0" w:tplc="677C9C30">
      <w:start w:val="1"/>
      <w:numFmt w:val="decimal"/>
      <w:lvlText w:val="%1."/>
      <w:lvlJc w:val="left"/>
      <w:pPr>
        <w:ind w:left="247"/>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7C4E418C">
      <w:start w:val="1"/>
      <w:numFmt w:val="lowerRoman"/>
      <w:lvlText w:val="(%2)"/>
      <w:lvlJc w:val="left"/>
      <w:pPr>
        <w:ind w:left="921"/>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1004C1F2">
      <w:start w:val="1"/>
      <w:numFmt w:val="lowerRoman"/>
      <w:lvlText w:val="%3"/>
      <w:lvlJc w:val="left"/>
      <w:pPr>
        <w:ind w:left="16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DDE091EC">
      <w:start w:val="1"/>
      <w:numFmt w:val="decimal"/>
      <w:lvlText w:val="%4"/>
      <w:lvlJc w:val="left"/>
      <w:pPr>
        <w:ind w:left="23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914216AE">
      <w:start w:val="1"/>
      <w:numFmt w:val="lowerLetter"/>
      <w:lvlText w:val="%5"/>
      <w:lvlJc w:val="left"/>
      <w:pPr>
        <w:ind w:left="308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54D8403E">
      <w:start w:val="1"/>
      <w:numFmt w:val="lowerRoman"/>
      <w:lvlText w:val="%6"/>
      <w:lvlJc w:val="left"/>
      <w:pPr>
        <w:ind w:left="380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FDB838E8">
      <w:start w:val="1"/>
      <w:numFmt w:val="decimal"/>
      <w:lvlText w:val="%7"/>
      <w:lvlJc w:val="left"/>
      <w:pPr>
        <w:ind w:left="452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7C123FE4">
      <w:start w:val="1"/>
      <w:numFmt w:val="lowerLetter"/>
      <w:lvlText w:val="%8"/>
      <w:lvlJc w:val="left"/>
      <w:pPr>
        <w:ind w:left="524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9156FCC6">
      <w:start w:val="1"/>
      <w:numFmt w:val="lowerRoman"/>
      <w:lvlText w:val="%9"/>
      <w:lvlJc w:val="left"/>
      <w:pPr>
        <w:ind w:left="5966"/>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29" w15:restartNumberingAfterBreak="0">
    <w:nsid w:val="7B8D1B0E"/>
    <w:multiLevelType w:val="hybridMultilevel"/>
    <w:tmpl w:val="39747A48"/>
    <w:lvl w:ilvl="0" w:tplc="809EA352">
      <w:start w:val="1"/>
      <w:numFmt w:val="decimal"/>
      <w:lvlText w:val="%1."/>
      <w:lvlJc w:val="left"/>
      <w:pPr>
        <w:ind w:left="1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1" w:tplc="F9B2E418">
      <w:start w:val="1"/>
      <w:numFmt w:val="lowerLetter"/>
      <w:lvlText w:val="%2"/>
      <w:lvlJc w:val="left"/>
      <w:pPr>
        <w:ind w:left="10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2" w:tplc="ED3CD21C">
      <w:start w:val="1"/>
      <w:numFmt w:val="lowerRoman"/>
      <w:lvlText w:val="%3"/>
      <w:lvlJc w:val="left"/>
      <w:pPr>
        <w:ind w:left="18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3" w:tplc="2632AD2A">
      <w:start w:val="1"/>
      <w:numFmt w:val="decimal"/>
      <w:lvlText w:val="%4"/>
      <w:lvlJc w:val="left"/>
      <w:pPr>
        <w:ind w:left="25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4" w:tplc="C054FFF8">
      <w:start w:val="1"/>
      <w:numFmt w:val="lowerLetter"/>
      <w:lvlText w:val="%5"/>
      <w:lvlJc w:val="left"/>
      <w:pPr>
        <w:ind w:left="324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5" w:tplc="55D2CD64">
      <w:start w:val="1"/>
      <w:numFmt w:val="lowerRoman"/>
      <w:lvlText w:val="%6"/>
      <w:lvlJc w:val="left"/>
      <w:pPr>
        <w:ind w:left="396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6" w:tplc="258E0AD2">
      <w:start w:val="1"/>
      <w:numFmt w:val="decimal"/>
      <w:lvlText w:val="%7"/>
      <w:lvlJc w:val="left"/>
      <w:pPr>
        <w:ind w:left="468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7" w:tplc="914EC0F4">
      <w:start w:val="1"/>
      <w:numFmt w:val="lowerLetter"/>
      <w:lvlText w:val="%8"/>
      <w:lvlJc w:val="left"/>
      <w:pPr>
        <w:ind w:left="540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lvl w:ilvl="8" w:tplc="06C4F01C">
      <w:start w:val="1"/>
      <w:numFmt w:val="lowerRoman"/>
      <w:lvlText w:val="%9"/>
      <w:lvlJc w:val="left"/>
      <w:pPr>
        <w:ind w:left="6120"/>
      </w:pPr>
      <w:rPr>
        <w:rFonts w:ascii="Arial" w:eastAsia="Arial" w:hAnsi="Arial" w:cs="Arial"/>
        <w:b w:val="0"/>
        <w:i w:val="0"/>
        <w:strike w:val="0"/>
        <w:dstrike w:val="0"/>
        <w:color w:val="181818"/>
        <w:sz w:val="22"/>
        <w:szCs w:val="22"/>
        <w:u w:val="none" w:color="000000"/>
        <w:bdr w:val="none" w:sz="0" w:space="0" w:color="auto"/>
        <w:shd w:val="clear" w:color="auto" w:fill="auto"/>
        <w:vertAlign w:val="baseline"/>
      </w:rPr>
    </w:lvl>
  </w:abstractNum>
  <w:num w:numId="1" w16cid:durableId="826550515">
    <w:abstractNumId w:val="0"/>
  </w:num>
  <w:num w:numId="2" w16cid:durableId="339431871">
    <w:abstractNumId w:val="10"/>
  </w:num>
  <w:num w:numId="3" w16cid:durableId="713425433">
    <w:abstractNumId w:val="2"/>
  </w:num>
  <w:num w:numId="4" w16cid:durableId="997805344">
    <w:abstractNumId w:val="8"/>
  </w:num>
  <w:num w:numId="5" w16cid:durableId="275717102">
    <w:abstractNumId w:val="26"/>
  </w:num>
  <w:num w:numId="6" w16cid:durableId="434135604">
    <w:abstractNumId w:val="14"/>
  </w:num>
  <w:num w:numId="7" w16cid:durableId="898708129">
    <w:abstractNumId w:val="25"/>
  </w:num>
  <w:num w:numId="8" w16cid:durableId="1971325787">
    <w:abstractNumId w:val="5"/>
  </w:num>
  <w:num w:numId="9" w16cid:durableId="556209618">
    <w:abstractNumId w:val="9"/>
  </w:num>
  <w:num w:numId="10" w16cid:durableId="1241669632">
    <w:abstractNumId w:val="3"/>
  </w:num>
  <w:num w:numId="11" w16cid:durableId="1993556151">
    <w:abstractNumId w:val="7"/>
  </w:num>
  <w:num w:numId="12" w16cid:durableId="1635788915">
    <w:abstractNumId w:val="12"/>
  </w:num>
  <w:num w:numId="13" w16cid:durableId="713508048">
    <w:abstractNumId w:val="15"/>
  </w:num>
  <w:num w:numId="14" w16cid:durableId="920136221">
    <w:abstractNumId w:val="23"/>
  </w:num>
  <w:num w:numId="15" w16cid:durableId="1330718405">
    <w:abstractNumId w:val="4"/>
  </w:num>
  <w:num w:numId="16" w16cid:durableId="683677729">
    <w:abstractNumId w:val="6"/>
  </w:num>
  <w:num w:numId="17" w16cid:durableId="1559245934">
    <w:abstractNumId w:val="16"/>
  </w:num>
  <w:num w:numId="18" w16cid:durableId="983267595">
    <w:abstractNumId w:val="20"/>
  </w:num>
  <w:num w:numId="19" w16cid:durableId="1540122762">
    <w:abstractNumId w:val="13"/>
  </w:num>
  <w:num w:numId="20" w16cid:durableId="586770577">
    <w:abstractNumId w:val="19"/>
  </w:num>
  <w:num w:numId="21" w16cid:durableId="781266745">
    <w:abstractNumId w:val="27"/>
  </w:num>
  <w:num w:numId="22" w16cid:durableId="630595592">
    <w:abstractNumId w:val="22"/>
  </w:num>
  <w:num w:numId="23" w16cid:durableId="193812747">
    <w:abstractNumId w:val="21"/>
  </w:num>
  <w:num w:numId="24" w16cid:durableId="2146846121">
    <w:abstractNumId w:val="17"/>
  </w:num>
  <w:num w:numId="25" w16cid:durableId="2023311690">
    <w:abstractNumId w:val="28"/>
  </w:num>
  <w:num w:numId="26" w16cid:durableId="1176573182">
    <w:abstractNumId w:val="24"/>
  </w:num>
  <w:num w:numId="27" w16cid:durableId="1368069170">
    <w:abstractNumId w:val="18"/>
  </w:num>
  <w:num w:numId="28" w16cid:durableId="972293329">
    <w:abstractNumId w:val="29"/>
  </w:num>
  <w:num w:numId="29" w16cid:durableId="18817518">
    <w:abstractNumId w:val="11"/>
  </w:num>
  <w:num w:numId="30" w16cid:durableId="2718660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77DA"/>
    <w:rsid w:val="000044EA"/>
    <w:rsid w:val="00006394"/>
    <w:rsid w:val="00014ED9"/>
    <w:rsid w:val="00023762"/>
    <w:rsid w:val="00026211"/>
    <w:rsid w:val="0002681F"/>
    <w:rsid w:val="00031803"/>
    <w:rsid w:val="00037144"/>
    <w:rsid w:val="00042521"/>
    <w:rsid w:val="000433DC"/>
    <w:rsid w:val="00045121"/>
    <w:rsid w:val="00060166"/>
    <w:rsid w:val="0006189F"/>
    <w:rsid w:val="00063605"/>
    <w:rsid w:val="00064549"/>
    <w:rsid w:val="00065EAB"/>
    <w:rsid w:val="00072947"/>
    <w:rsid w:val="000739C9"/>
    <w:rsid w:val="000756E0"/>
    <w:rsid w:val="000807D0"/>
    <w:rsid w:val="000808F4"/>
    <w:rsid w:val="00080A9B"/>
    <w:rsid w:val="00085D91"/>
    <w:rsid w:val="00092D24"/>
    <w:rsid w:val="0009471E"/>
    <w:rsid w:val="000A39EA"/>
    <w:rsid w:val="000A4098"/>
    <w:rsid w:val="000A6ACD"/>
    <w:rsid w:val="000A789E"/>
    <w:rsid w:val="000B0D65"/>
    <w:rsid w:val="000B2A6C"/>
    <w:rsid w:val="000B43FF"/>
    <w:rsid w:val="000B5600"/>
    <w:rsid w:val="000B5F9C"/>
    <w:rsid w:val="000B65B1"/>
    <w:rsid w:val="000B6DB6"/>
    <w:rsid w:val="000C5292"/>
    <w:rsid w:val="000D14DA"/>
    <w:rsid w:val="000D2C61"/>
    <w:rsid w:val="000D453E"/>
    <w:rsid w:val="000D52E2"/>
    <w:rsid w:val="000D6626"/>
    <w:rsid w:val="000E051E"/>
    <w:rsid w:val="000E0B0A"/>
    <w:rsid w:val="000E12D4"/>
    <w:rsid w:val="000E15F9"/>
    <w:rsid w:val="000E207F"/>
    <w:rsid w:val="000E71EB"/>
    <w:rsid w:val="000F40DD"/>
    <w:rsid w:val="000F4199"/>
    <w:rsid w:val="000F51ED"/>
    <w:rsid w:val="001008B7"/>
    <w:rsid w:val="001010BE"/>
    <w:rsid w:val="00101CD3"/>
    <w:rsid w:val="001109BE"/>
    <w:rsid w:val="00112E70"/>
    <w:rsid w:val="0012336F"/>
    <w:rsid w:val="00123766"/>
    <w:rsid w:val="00124994"/>
    <w:rsid w:val="00124F01"/>
    <w:rsid w:val="00125F4E"/>
    <w:rsid w:val="001302AD"/>
    <w:rsid w:val="0013415E"/>
    <w:rsid w:val="00134349"/>
    <w:rsid w:val="00134436"/>
    <w:rsid w:val="00134872"/>
    <w:rsid w:val="00136A36"/>
    <w:rsid w:val="001373CA"/>
    <w:rsid w:val="00141128"/>
    <w:rsid w:val="0014311E"/>
    <w:rsid w:val="00144FD9"/>
    <w:rsid w:val="00147A8E"/>
    <w:rsid w:val="00147DAC"/>
    <w:rsid w:val="001507E8"/>
    <w:rsid w:val="001553D7"/>
    <w:rsid w:val="0015713B"/>
    <w:rsid w:val="00157C2E"/>
    <w:rsid w:val="00160D0D"/>
    <w:rsid w:val="001640E8"/>
    <w:rsid w:val="0017075A"/>
    <w:rsid w:val="00170DA0"/>
    <w:rsid w:val="0017403B"/>
    <w:rsid w:val="0017424E"/>
    <w:rsid w:val="001748B4"/>
    <w:rsid w:val="001812AA"/>
    <w:rsid w:val="00181ACC"/>
    <w:rsid w:val="00196455"/>
    <w:rsid w:val="001A1219"/>
    <w:rsid w:val="001A30A0"/>
    <w:rsid w:val="001A4E7A"/>
    <w:rsid w:val="001A6048"/>
    <w:rsid w:val="001A6D38"/>
    <w:rsid w:val="001B1ADC"/>
    <w:rsid w:val="001B31BC"/>
    <w:rsid w:val="001B35F8"/>
    <w:rsid w:val="001C10C3"/>
    <w:rsid w:val="001C20C9"/>
    <w:rsid w:val="001D1A71"/>
    <w:rsid w:val="001D5E87"/>
    <w:rsid w:val="001D6174"/>
    <w:rsid w:val="001D65A1"/>
    <w:rsid w:val="001E3272"/>
    <w:rsid w:val="001E79A5"/>
    <w:rsid w:val="001E7C5E"/>
    <w:rsid w:val="001F15B5"/>
    <w:rsid w:val="001F46D7"/>
    <w:rsid w:val="001F4A92"/>
    <w:rsid w:val="001F57BC"/>
    <w:rsid w:val="00200DC7"/>
    <w:rsid w:val="00204002"/>
    <w:rsid w:val="002049F4"/>
    <w:rsid w:val="00205F44"/>
    <w:rsid w:val="0020757E"/>
    <w:rsid w:val="00211605"/>
    <w:rsid w:val="00212576"/>
    <w:rsid w:val="002259AD"/>
    <w:rsid w:val="00230603"/>
    <w:rsid w:val="0023398E"/>
    <w:rsid w:val="00235142"/>
    <w:rsid w:val="002359A7"/>
    <w:rsid w:val="00243453"/>
    <w:rsid w:val="002513F2"/>
    <w:rsid w:val="002576F3"/>
    <w:rsid w:val="0026079D"/>
    <w:rsid w:val="00260893"/>
    <w:rsid w:val="00261146"/>
    <w:rsid w:val="00265044"/>
    <w:rsid w:val="00271C90"/>
    <w:rsid w:val="00274DBA"/>
    <w:rsid w:val="00287B53"/>
    <w:rsid w:val="0029527A"/>
    <w:rsid w:val="00295A51"/>
    <w:rsid w:val="00296F1B"/>
    <w:rsid w:val="002979A4"/>
    <w:rsid w:val="002A1132"/>
    <w:rsid w:val="002A136F"/>
    <w:rsid w:val="002A65FC"/>
    <w:rsid w:val="002A779E"/>
    <w:rsid w:val="002B0F15"/>
    <w:rsid w:val="002B27A5"/>
    <w:rsid w:val="002B3E81"/>
    <w:rsid w:val="002B4039"/>
    <w:rsid w:val="002B50F5"/>
    <w:rsid w:val="002B5BF6"/>
    <w:rsid w:val="002B627C"/>
    <w:rsid w:val="002B630D"/>
    <w:rsid w:val="002C0F28"/>
    <w:rsid w:val="002C1274"/>
    <w:rsid w:val="002C18C8"/>
    <w:rsid w:val="002C2758"/>
    <w:rsid w:val="002D3206"/>
    <w:rsid w:val="002D3D41"/>
    <w:rsid w:val="002D4A79"/>
    <w:rsid w:val="002E2A60"/>
    <w:rsid w:val="002F2129"/>
    <w:rsid w:val="002F2939"/>
    <w:rsid w:val="002F767C"/>
    <w:rsid w:val="00300D05"/>
    <w:rsid w:val="0030438D"/>
    <w:rsid w:val="003054A2"/>
    <w:rsid w:val="003113F2"/>
    <w:rsid w:val="00312EE1"/>
    <w:rsid w:val="003164F0"/>
    <w:rsid w:val="0031703F"/>
    <w:rsid w:val="003226BD"/>
    <w:rsid w:val="00323B72"/>
    <w:rsid w:val="003252CF"/>
    <w:rsid w:val="003260B8"/>
    <w:rsid w:val="00327849"/>
    <w:rsid w:val="0032789D"/>
    <w:rsid w:val="00330CD6"/>
    <w:rsid w:val="0033176C"/>
    <w:rsid w:val="00332F2A"/>
    <w:rsid w:val="00334729"/>
    <w:rsid w:val="0033519C"/>
    <w:rsid w:val="00337B2D"/>
    <w:rsid w:val="003464C2"/>
    <w:rsid w:val="0034783C"/>
    <w:rsid w:val="0035190E"/>
    <w:rsid w:val="003541F8"/>
    <w:rsid w:val="00354B28"/>
    <w:rsid w:val="00355DC4"/>
    <w:rsid w:val="0035777B"/>
    <w:rsid w:val="003603EC"/>
    <w:rsid w:val="003712F2"/>
    <w:rsid w:val="0038058D"/>
    <w:rsid w:val="0038258F"/>
    <w:rsid w:val="00383C50"/>
    <w:rsid w:val="0038711C"/>
    <w:rsid w:val="00387AFA"/>
    <w:rsid w:val="00391170"/>
    <w:rsid w:val="003911A3"/>
    <w:rsid w:val="00391D37"/>
    <w:rsid w:val="003928C8"/>
    <w:rsid w:val="0039594E"/>
    <w:rsid w:val="00395CAE"/>
    <w:rsid w:val="00396387"/>
    <w:rsid w:val="003A14BD"/>
    <w:rsid w:val="003A37A0"/>
    <w:rsid w:val="003A3C86"/>
    <w:rsid w:val="003A4115"/>
    <w:rsid w:val="003A4CA2"/>
    <w:rsid w:val="003A6BE1"/>
    <w:rsid w:val="003A7B28"/>
    <w:rsid w:val="003B0F65"/>
    <w:rsid w:val="003B35BA"/>
    <w:rsid w:val="003B6649"/>
    <w:rsid w:val="003B70F5"/>
    <w:rsid w:val="003C1402"/>
    <w:rsid w:val="003C7055"/>
    <w:rsid w:val="003C7397"/>
    <w:rsid w:val="003D5EB0"/>
    <w:rsid w:val="003E21D6"/>
    <w:rsid w:val="003E6489"/>
    <w:rsid w:val="003E708C"/>
    <w:rsid w:val="003E7760"/>
    <w:rsid w:val="003F15E0"/>
    <w:rsid w:val="003F354D"/>
    <w:rsid w:val="003F5625"/>
    <w:rsid w:val="003F70D1"/>
    <w:rsid w:val="00401B46"/>
    <w:rsid w:val="00401F90"/>
    <w:rsid w:val="004122C7"/>
    <w:rsid w:val="004166D1"/>
    <w:rsid w:val="00416934"/>
    <w:rsid w:val="00416BF3"/>
    <w:rsid w:val="00424FF0"/>
    <w:rsid w:val="0042609D"/>
    <w:rsid w:val="00427F53"/>
    <w:rsid w:val="004347D2"/>
    <w:rsid w:val="00434A80"/>
    <w:rsid w:val="0043601A"/>
    <w:rsid w:val="0044026D"/>
    <w:rsid w:val="00442EFA"/>
    <w:rsid w:val="004431CF"/>
    <w:rsid w:val="00444834"/>
    <w:rsid w:val="004464F2"/>
    <w:rsid w:val="00463575"/>
    <w:rsid w:val="00465562"/>
    <w:rsid w:val="00465DCF"/>
    <w:rsid w:val="004662AE"/>
    <w:rsid w:val="004673E8"/>
    <w:rsid w:val="00467FD9"/>
    <w:rsid w:val="0047110C"/>
    <w:rsid w:val="004712CD"/>
    <w:rsid w:val="004735FD"/>
    <w:rsid w:val="00480446"/>
    <w:rsid w:val="00485746"/>
    <w:rsid w:val="0049135A"/>
    <w:rsid w:val="00492704"/>
    <w:rsid w:val="0049280D"/>
    <w:rsid w:val="00495FAE"/>
    <w:rsid w:val="00497AB0"/>
    <w:rsid w:val="004A37FD"/>
    <w:rsid w:val="004A5EF6"/>
    <w:rsid w:val="004B0BEF"/>
    <w:rsid w:val="004B2C45"/>
    <w:rsid w:val="004B2C90"/>
    <w:rsid w:val="004C7C44"/>
    <w:rsid w:val="004C7DF4"/>
    <w:rsid w:val="004D1568"/>
    <w:rsid w:val="004D25AF"/>
    <w:rsid w:val="004D32DD"/>
    <w:rsid w:val="004D7A66"/>
    <w:rsid w:val="004E0F2E"/>
    <w:rsid w:val="004E17AE"/>
    <w:rsid w:val="004E2E77"/>
    <w:rsid w:val="004F111C"/>
    <w:rsid w:val="004F6D07"/>
    <w:rsid w:val="004F75C3"/>
    <w:rsid w:val="004F79F5"/>
    <w:rsid w:val="0050102F"/>
    <w:rsid w:val="00502405"/>
    <w:rsid w:val="00503FB7"/>
    <w:rsid w:val="00505AFD"/>
    <w:rsid w:val="005123CE"/>
    <w:rsid w:val="00512490"/>
    <w:rsid w:val="00513569"/>
    <w:rsid w:val="0051662A"/>
    <w:rsid w:val="00517098"/>
    <w:rsid w:val="00521504"/>
    <w:rsid w:val="00522A60"/>
    <w:rsid w:val="005238C2"/>
    <w:rsid w:val="00523CA1"/>
    <w:rsid w:val="00525141"/>
    <w:rsid w:val="005264F1"/>
    <w:rsid w:val="0053599A"/>
    <w:rsid w:val="00536947"/>
    <w:rsid w:val="0055707B"/>
    <w:rsid w:val="00561B6B"/>
    <w:rsid w:val="00563A9F"/>
    <w:rsid w:val="00566721"/>
    <w:rsid w:val="005671B0"/>
    <w:rsid w:val="00567BA7"/>
    <w:rsid w:val="00567EC8"/>
    <w:rsid w:val="00573EEA"/>
    <w:rsid w:val="00576102"/>
    <w:rsid w:val="00576160"/>
    <w:rsid w:val="00585FE9"/>
    <w:rsid w:val="005A5B52"/>
    <w:rsid w:val="005A6D12"/>
    <w:rsid w:val="005A7ADB"/>
    <w:rsid w:val="005B035C"/>
    <w:rsid w:val="005B3D8F"/>
    <w:rsid w:val="005C267B"/>
    <w:rsid w:val="005C2BD1"/>
    <w:rsid w:val="005C4A52"/>
    <w:rsid w:val="005D005A"/>
    <w:rsid w:val="005D0259"/>
    <w:rsid w:val="005D51C7"/>
    <w:rsid w:val="005D7290"/>
    <w:rsid w:val="005E0226"/>
    <w:rsid w:val="005E5287"/>
    <w:rsid w:val="005E63E5"/>
    <w:rsid w:val="005F009B"/>
    <w:rsid w:val="005F63C8"/>
    <w:rsid w:val="0060547F"/>
    <w:rsid w:val="00605C80"/>
    <w:rsid w:val="0061099C"/>
    <w:rsid w:val="0062081A"/>
    <w:rsid w:val="00632B5C"/>
    <w:rsid w:val="00633A37"/>
    <w:rsid w:val="0063435E"/>
    <w:rsid w:val="0063596C"/>
    <w:rsid w:val="00636416"/>
    <w:rsid w:val="006420F7"/>
    <w:rsid w:val="006462CB"/>
    <w:rsid w:val="00647750"/>
    <w:rsid w:val="00650C6D"/>
    <w:rsid w:val="00654EC3"/>
    <w:rsid w:val="006574D4"/>
    <w:rsid w:val="00661005"/>
    <w:rsid w:val="0066168B"/>
    <w:rsid w:val="006639CB"/>
    <w:rsid w:val="006645E2"/>
    <w:rsid w:val="00672B7F"/>
    <w:rsid w:val="00675416"/>
    <w:rsid w:val="0067603A"/>
    <w:rsid w:val="00681942"/>
    <w:rsid w:val="00681E5C"/>
    <w:rsid w:val="0068204A"/>
    <w:rsid w:val="006921C9"/>
    <w:rsid w:val="00692CA8"/>
    <w:rsid w:val="006936BB"/>
    <w:rsid w:val="006946F4"/>
    <w:rsid w:val="00696745"/>
    <w:rsid w:val="00696985"/>
    <w:rsid w:val="0069700E"/>
    <w:rsid w:val="006A00F9"/>
    <w:rsid w:val="006A57AA"/>
    <w:rsid w:val="006B0309"/>
    <w:rsid w:val="006B244D"/>
    <w:rsid w:val="006B463A"/>
    <w:rsid w:val="006B7E68"/>
    <w:rsid w:val="006C1898"/>
    <w:rsid w:val="006C6FF6"/>
    <w:rsid w:val="006D0AE9"/>
    <w:rsid w:val="006D6F12"/>
    <w:rsid w:val="006D6F7C"/>
    <w:rsid w:val="006E130C"/>
    <w:rsid w:val="006E27B2"/>
    <w:rsid w:val="006E39D5"/>
    <w:rsid w:val="006E48DA"/>
    <w:rsid w:val="006E5122"/>
    <w:rsid w:val="006E7A71"/>
    <w:rsid w:val="006F1511"/>
    <w:rsid w:val="006F1B07"/>
    <w:rsid w:val="006F3161"/>
    <w:rsid w:val="006F4116"/>
    <w:rsid w:val="006F50F4"/>
    <w:rsid w:val="006F617F"/>
    <w:rsid w:val="00710A38"/>
    <w:rsid w:val="00710F37"/>
    <w:rsid w:val="00713280"/>
    <w:rsid w:val="00714DC8"/>
    <w:rsid w:val="00720CE9"/>
    <w:rsid w:val="00721F02"/>
    <w:rsid w:val="00721FB9"/>
    <w:rsid w:val="007246CA"/>
    <w:rsid w:val="00724B54"/>
    <w:rsid w:val="00726451"/>
    <w:rsid w:val="0073277A"/>
    <w:rsid w:val="007328C8"/>
    <w:rsid w:val="007329AB"/>
    <w:rsid w:val="00733167"/>
    <w:rsid w:val="0074272F"/>
    <w:rsid w:val="00742817"/>
    <w:rsid w:val="00745D7D"/>
    <w:rsid w:val="007468B0"/>
    <w:rsid w:val="00747D28"/>
    <w:rsid w:val="00751054"/>
    <w:rsid w:val="007510B4"/>
    <w:rsid w:val="00751EF2"/>
    <w:rsid w:val="007522F9"/>
    <w:rsid w:val="00755ECA"/>
    <w:rsid w:val="00755FAC"/>
    <w:rsid w:val="00755FDE"/>
    <w:rsid w:val="00766367"/>
    <w:rsid w:val="00766470"/>
    <w:rsid w:val="00766641"/>
    <w:rsid w:val="00766A99"/>
    <w:rsid w:val="00766E17"/>
    <w:rsid w:val="00767A1A"/>
    <w:rsid w:val="0078155D"/>
    <w:rsid w:val="007823EB"/>
    <w:rsid w:val="00783DF2"/>
    <w:rsid w:val="00786BB2"/>
    <w:rsid w:val="00791F58"/>
    <w:rsid w:val="00794863"/>
    <w:rsid w:val="00796DD6"/>
    <w:rsid w:val="007A56EA"/>
    <w:rsid w:val="007B01C4"/>
    <w:rsid w:val="007B2665"/>
    <w:rsid w:val="007B2BFD"/>
    <w:rsid w:val="007B434C"/>
    <w:rsid w:val="007B4662"/>
    <w:rsid w:val="007B5B65"/>
    <w:rsid w:val="007B75CB"/>
    <w:rsid w:val="007C35DA"/>
    <w:rsid w:val="007D2CC0"/>
    <w:rsid w:val="007D3BDB"/>
    <w:rsid w:val="007D7840"/>
    <w:rsid w:val="007E03B5"/>
    <w:rsid w:val="007E0D58"/>
    <w:rsid w:val="007E1C07"/>
    <w:rsid w:val="007E369F"/>
    <w:rsid w:val="007E3B30"/>
    <w:rsid w:val="007E51CC"/>
    <w:rsid w:val="007F08B4"/>
    <w:rsid w:val="007F286B"/>
    <w:rsid w:val="007F54F5"/>
    <w:rsid w:val="008020FD"/>
    <w:rsid w:val="00804D08"/>
    <w:rsid w:val="008050B8"/>
    <w:rsid w:val="00805DCD"/>
    <w:rsid w:val="008065C6"/>
    <w:rsid w:val="0080786B"/>
    <w:rsid w:val="008116EF"/>
    <w:rsid w:val="00815426"/>
    <w:rsid w:val="00816E87"/>
    <w:rsid w:val="008204B4"/>
    <w:rsid w:val="0082379C"/>
    <w:rsid w:val="00824827"/>
    <w:rsid w:val="008250EB"/>
    <w:rsid w:val="0082744E"/>
    <w:rsid w:val="00827B88"/>
    <w:rsid w:val="00830B06"/>
    <w:rsid w:val="008353A3"/>
    <w:rsid w:val="00841426"/>
    <w:rsid w:val="00842052"/>
    <w:rsid w:val="008458E1"/>
    <w:rsid w:val="00853F3B"/>
    <w:rsid w:val="008541AE"/>
    <w:rsid w:val="0085554E"/>
    <w:rsid w:val="00855DC7"/>
    <w:rsid w:val="00855FC6"/>
    <w:rsid w:val="00857269"/>
    <w:rsid w:val="00872D52"/>
    <w:rsid w:val="00873510"/>
    <w:rsid w:val="008744AF"/>
    <w:rsid w:val="00876D08"/>
    <w:rsid w:val="008778A6"/>
    <w:rsid w:val="00877B48"/>
    <w:rsid w:val="00886D47"/>
    <w:rsid w:val="008872A2"/>
    <w:rsid w:val="00892AEE"/>
    <w:rsid w:val="00892C02"/>
    <w:rsid w:val="0089370D"/>
    <w:rsid w:val="008953A9"/>
    <w:rsid w:val="00897671"/>
    <w:rsid w:val="008A06EF"/>
    <w:rsid w:val="008A14B7"/>
    <w:rsid w:val="008A3007"/>
    <w:rsid w:val="008A30A5"/>
    <w:rsid w:val="008A52EF"/>
    <w:rsid w:val="008A6989"/>
    <w:rsid w:val="008B380B"/>
    <w:rsid w:val="008B3A77"/>
    <w:rsid w:val="008B4FCF"/>
    <w:rsid w:val="008B71B4"/>
    <w:rsid w:val="008C0035"/>
    <w:rsid w:val="008C32FA"/>
    <w:rsid w:val="008C3C82"/>
    <w:rsid w:val="008C78D8"/>
    <w:rsid w:val="008D26B0"/>
    <w:rsid w:val="008D3397"/>
    <w:rsid w:val="008D33CF"/>
    <w:rsid w:val="008D371B"/>
    <w:rsid w:val="008E04FB"/>
    <w:rsid w:val="008E1A0F"/>
    <w:rsid w:val="008E49A2"/>
    <w:rsid w:val="008E522E"/>
    <w:rsid w:val="008E6CF2"/>
    <w:rsid w:val="008E73B7"/>
    <w:rsid w:val="008F0BE0"/>
    <w:rsid w:val="008F1A13"/>
    <w:rsid w:val="008F21F7"/>
    <w:rsid w:val="008F48FF"/>
    <w:rsid w:val="00900576"/>
    <w:rsid w:val="00901D9C"/>
    <w:rsid w:val="0090350A"/>
    <w:rsid w:val="00905325"/>
    <w:rsid w:val="00907DFC"/>
    <w:rsid w:val="009103DE"/>
    <w:rsid w:val="009107AB"/>
    <w:rsid w:val="00910884"/>
    <w:rsid w:val="009154E0"/>
    <w:rsid w:val="009156E5"/>
    <w:rsid w:val="009160CE"/>
    <w:rsid w:val="009201D5"/>
    <w:rsid w:val="00920862"/>
    <w:rsid w:val="00922306"/>
    <w:rsid w:val="00924754"/>
    <w:rsid w:val="0093035A"/>
    <w:rsid w:val="00931E45"/>
    <w:rsid w:val="00936556"/>
    <w:rsid w:val="0095132F"/>
    <w:rsid w:val="009523D4"/>
    <w:rsid w:val="009560BC"/>
    <w:rsid w:val="009602DF"/>
    <w:rsid w:val="00970B7D"/>
    <w:rsid w:val="00975442"/>
    <w:rsid w:val="00975EE6"/>
    <w:rsid w:val="00976065"/>
    <w:rsid w:val="00980EFA"/>
    <w:rsid w:val="009840C3"/>
    <w:rsid w:val="00984B2A"/>
    <w:rsid w:val="00984B8E"/>
    <w:rsid w:val="00985FF7"/>
    <w:rsid w:val="0099209B"/>
    <w:rsid w:val="009A0405"/>
    <w:rsid w:val="009A1CE7"/>
    <w:rsid w:val="009A33F6"/>
    <w:rsid w:val="009A45AF"/>
    <w:rsid w:val="009A656C"/>
    <w:rsid w:val="009B0273"/>
    <w:rsid w:val="009B2308"/>
    <w:rsid w:val="009B49FE"/>
    <w:rsid w:val="009C1A4E"/>
    <w:rsid w:val="009C1EF4"/>
    <w:rsid w:val="009C59D0"/>
    <w:rsid w:val="009C6795"/>
    <w:rsid w:val="009C737D"/>
    <w:rsid w:val="009D50CC"/>
    <w:rsid w:val="009D52D3"/>
    <w:rsid w:val="009D59BD"/>
    <w:rsid w:val="009E128D"/>
    <w:rsid w:val="009E380A"/>
    <w:rsid w:val="009E532B"/>
    <w:rsid w:val="009E7E26"/>
    <w:rsid w:val="009F01F3"/>
    <w:rsid w:val="009F1113"/>
    <w:rsid w:val="009F4044"/>
    <w:rsid w:val="009F59DF"/>
    <w:rsid w:val="009F77C7"/>
    <w:rsid w:val="00A00179"/>
    <w:rsid w:val="00A00361"/>
    <w:rsid w:val="00A01488"/>
    <w:rsid w:val="00A01AB4"/>
    <w:rsid w:val="00A031F7"/>
    <w:rsid w:val="00A05FE3"/>
    <w:rsid w:val="00A0615A"/>
    <w:rsid w:val="00A1563F"/>
    <w:rsid w:val="00A2004F"/>
    <w:rsid w:val="00A204E5"/>
    <w:rsid w:val="00A24687"/>
    <w:rsid w:val="00A25173"/>
    <w:rsid w:val="00A305EB"/>
    <w:rsid w:val="00A30909"/>
    <w:rsid w:val="00A4513D"/>
    <w:rsid w:val="00A461AB"/>
    <w:rsid w:val="00A468CD"/>
    <w:rsid w:val="00A55BD5"/>
    <w:rsid w:val="00A55DB9"/>
    <w:rsid w:val="00A55FE1"/>
    <w:rsid w:val="00A56C5D"/>
    <w:rsid w:val="00A57D80"/>
    <w:rsid w:val="00A6389B"/>
    <w:rsid w:val="00A644B0"/>
    <w:rsid w:val="00A67E2F"/>
    <w:rsid w:val="00A772D8"/>
    <w:rsid w:val="00A8124B"/>
    <w:rsid w:val="00A81FA5"/>
    <w:rsid w:val="00A8421A"/>
    <w:rsid w:val="00A858C9"/>
    <w:rsid w:val="00A85A9F"/>
    <w:rsid w:val="00A90880"/>
    <w:rsid w:val="00A90C64"/>
    <w:rsid w:val="00A959D3"/>
    <w:rsid w:val="00A97F19"/>
    <w:rsid w:val="00AA0A89"/>
    <w:rsid w:val="00AA2DD7"/>
    <w:rsid w:val="00AA372A"/>
    <w:rsid w:val="00AA63A1"/>
    <w:rsid w:val="00AB5F2F"/>
    <w:rsid w:val="00AB6D8C"/>
    <w:rsid w:val="00AC75CA"/>
    <w:rsid w:val="00AD4370"/>
    <w:rsid w:val="00AD585C"/>
    <w:rsid w:val="00AE248E"/>
    <w:rsid w:val="00AF35AF"/>
    <w:rsid w:val="00B002C7"/>
    <w:rsid w:val="00B00344"/>
    <w:rsid w:val="00B007D9"/>
    <w:rsid w:val="00B01D2D"/>
    <w:rsid w:val="00B0310B"/>
    <w:rsid w:val="00B0347E"/>
    <w:rsid w:val="00B0792F"/>
    <w:rsid w:val="00B16D78"/>
    <w:rsid w:val="00B22E58"/>
    <w:rsid w:val="00B3048F"/>
    <w:rsid w:val="00B30689"/>
    <w:rsid w:val="00B30863"/>
    <w:rsid w:val="00B31DA0"/>
    <w:rsid w:val="00B34D86"/>
    <w:rsid w:val="00B36B71"/>
    <w:rsid w:val="00B37B9B"/>
    <w:rsid w:val="00B40FA5"/>
    <w:rsid w:val="00B52C09"/>
    <w:rsid w:val="00B55539"/>
    <w:rsid w:val="00B5674C"/>
    <w:rsid w:val="00B60637"/>
    <w:rsid w:val="00B60C71"/>
    <w:rsid w:val="00B6291A"/>
    <w:rsid w:val="00B635C1"/>
    <w:rsid w:val="00B66303"/>
    <w:rsid w:val="00B72C04"/>
    <w:rsid w:val="00B730C0"/>
    <w:rsid w:val="00B773D2"/>
    <w:rsid w:val="00B835B8"/>
    <w:rsid w:val="00B836C0"/>
    <w:rsid w:val="00B87677"/>
    <w:rsid w:val="00B909BD"/>
    <w:rsid w:val="00B912D2"/>
    <w:rsid w:val="00B948AD"/>
    <w:rsid w:val="00B94DF9"/>
    <w:rsid w:val="00B9597A"/>
    <w:rsid w:val="00B965CB"/>
    <w:rsid w:val="00B9712D"/>
    <w:rsid w:val="00BA46C7"/>
    <w:rsid w:val="00BA70C8"/>
    <w:rsid w:val="00BA7707"/>
    <w:rsid w:val="00BB02E4"/>
    <w:rsid w:val="00BB0B18"/>
    <w:rsid w:val="00BB12C0"/>
    <w:rsid w:val="00BB2ADD"/>
    <w:rsid w:val="00BB4A1F"/>
    <w:rsid w:val="00BB50E7"/>
    <w:rsid w:val="00BD109C"/>
    <w:rsid w:val="00BD4BD1"/>
    <w:rsid w:val="00BD68CB"/>
    <w:rsid w:val="00BD7A77"/>
    <w:rsid w:val="00BE38E0"/>
    <w:rsid w:val="00BE41BE"/>
    <w:rsid w:val="00BE73D2"/>
    <w:rsid w:val="00BF142D"/>
    <w:rsid w:val="00BF613D"/>
    <w:rsid w:val="00C00BB9"/>
    <w:rsid w:val="00C0181D"/>
    <w:rsid w:val="00C03E30"/>
    <w:rsid w:val="00C05995"/>
    <w:rsid w:val="00C111EF"/>
    <w:rsid w:val="00C20AE5"/>
    <w:rsid w:val="00C20FC4"/>
    <w:rsid w:val="00C229BE"/>
    <w:rsid w:val="00C24A28"/>
    <w:rsid w:val="00C25D1D"/>
    <w:rsid w:val="00C26AF3"/>
    <w:rsid w:val="00C271AE"/>
    <w:rsid w:val="00C31CD9"/>
    <w:rsid w:val="00C3270A"/>
    <w:rsid w:val="00C40158"/>
    <w:rsid w:val="00C401BE"/>
    <w:rsid w:val="00C41E5A"/>
    <w:rsid w:val="00C42009"/>
    <w:rsid w:val="00C42721"/>
    <w:rsid w:val="00C42971"/>
    <w:rsid w:val="00C46E4A"/>
    <w:rsid w:val="00C50524"/>
    <w:rsid w:val="00C51EA1"/>
    <w:rsid w:val="00C521C2"/>
    <w:rsid w:val="00C5317A"/>
    <w:rsid w:val="00C56B43"/>
    <w:rsid w:val="00C56BD3"/>
    <w:rsid w:val="00C56E01"/>
    <w:rsid w:val="00C57AFD"/>
    <w:rsid w:val="00C72AAC"/>
    <w:rsid w:val="00C7646A"/>
    <w:rsid w:val="00C82BE5"/>
    <w:rsid w:val="00C85EF8"/>
    <w:rsid w:val="00C87C27"/>
    <w:rsid w:val="00C9063C"/>
    <w:rsid w:val="00C920B5"/>
    <w:rsid w:val="00C937F1"/>
    <w:rsid w:val="00C94C8F"/>
    <w:rsid w:val="00C97B4A"/>
    <w:rsid w:val="00CA0A0F"/>
    <w:rsid w:val="00CA2198"/>
    <w:rsid w:val="00CA36B0"/>
    <w:rsid w:val="00CA44F2"/>
    <w:rsid w:val="00CA4CC0"/>
    <w:rsid w:val="00CA5A9E"/>
    <w:rsid w:val="00CA60CC"/>
    <w:rsid w:val="00CA7370"/>
    <w:rsid w:val="00CB1D8B"/>
    <w:rsid w:val="00CB3012"/>
    <w:rsid w:val="00CB496D"/>
    <w:rsid w:val="00CB4FFF"/>
    <w:rsid w:val="00CB65A9"/>
    <w:rsid w:val="00CB68F3"/>
    <w:rsid w:val="00CB71C2"/>
    <w:rsid w:val="00CC0849"/>
    <w:rsid w:val="00CC0A70"/>
    <w:rsid w:val="00CC0E2B"/>
    <w:rsid w:val="00CC0F67"/>
    <w:rsid w:val="00CC1577"/>
    <w:rsid w:val="00CC2259"/>
    <w:rsid w:val="00CC5483"/>
    <w:rsid w:val="00CC7B42"/>
    <w:rsid w:val="00CD0EED"/>
    <w:rsid w:val="00CD2170"/>
    <w:rsid w:val="00CD5B18"/>
    <w:rsid w:val="00CD621D"/>
    <w:rsid w:val="00CE3021"/>
    <w:rsid w:val="00CE3530"/>
    <w:rsid w:val="00CE40B9"/>
    <w:rsid w:val="00CE49C5"/>
    <w:rsid w:val="00CE4D6D"/>
    <w:rsid w:val="00CE5A4D"/>
    <w:rsid w:val="00CE76FD"/>
    <w:rsid w:val="00CE78E7"/>
    <w:rsid w:val="00CF10C1"/>
    <w:rsid w:val="00CF3376"/>
    <w:rsid w:val="00CF3A2C"/>
    <w:rsid w:val="00CF5493"/>
    <w:rsid w:val="00CF64D4"/>
    <w:rsid w:val="00D02053"/>
    <w:rsid w:val="00D046CC"/>
    <w:rsid w:val="00D10737"/>
    <w:rsid w:val="00D11E23"/>
    <w:rsid w:val="00D210C1"/>
    <w:rsid w:val="00D2456C"/>
    <w:rsid w:val="00D25140"/>
    <w:rsid w:val="00D265AF"/>
    <w:rsid w:val="00D321DA"/>
    <w:rsid w:val="00D334B8"/>
    <w:rsid w:val="00D35001"/>
    <w:rsid w:val="00D37AAE"/>
    <w:rsid w:val="00D41501"/>
    <w:rsid w:val="00D41843"/>
    <w:rsid w:val="00D45394"/>
    <w:rsid w:val="00D46614"/>
    <w:rsid w:val="00D46BA5"/>
    <w:rsid w:val="00D46D44"/>
    <w:rsid w:val="00D47AD3"/>
    <w:rsid w:val="00D50C5D"/>
    <w:rsid w:val="00D51FD7"/>
    <w:rsid w:val="00D5631C"/>
    <w:rsid w:val="00D574AF"/>
    <w:rsid w:val="00D6175C"/>
    <w:rsid w:val="00D6274B"/>
    <w:rsid w:val="00D62E8E"/>
    <w:rsid w:val="00D65169"/>
    <w:rsid w:val="00D709E6"/>
    <w:rsid w:val="00D71165"/>
    <w:rsid w:val="00D72D92"/>
    <w:rsid w:val="00D85898"/>
    <w:rsid w:val="00D8622A"/>
    <w:rsid w:val="00D8698A"/>
    <w:rsid w:val="00D91C05"/>
    <w:rsid w:val="00D92ED6"/>
    <w:rsid w:val="00DA023D"/>
    <w:rsid w:val="00DA2136"/>
    <w:rsid w:val="00DA4909"/>
    <w:rsid w:val="00DB0AB6"/>
    <w:rsid w:val="00DB0DC5"/>
    <w:rsid w:val="00DB2185"/>
    <w:rsid w:val="00DB33C7"/>
    <w:rsid w:val="00DB38AF"/>
    <w:rsid w:val="00DB47C7"/>
    <w:rsid w:val="00DB5BB1"/>
    <w:rsid w:val="00DB74A5"/>
    <w:rsid w:val="00DC03DD"/>
    <w:rsid w:val="00DC1F80"/>
    <w:rsid w:val="00DC4328"/>
    <w:rsid w:val="00DC56BB"/>
    <w:rsid w:val="00DC643C"/>
    <w:rsid w:val="00DC6F0C"/>
    <w:rsid w:val="00DD56E8"/>
    <w:rsid w:val="00DD601D"/>
    <w:rsid w:val="00DD7B49"/>
    <w:rsid w:val="00DE481E"/>
    <w:rsid w:val="00DE5FF4"/>
    <w:rsid w:val="00DF203C"/>
    <w:rsid w:val="00DF31DB"/>
    <w:rsid w:val="00DF6E37"/>
    <w:rsid w:val="00E03336"/>
    <w:rsid w:val="00E03C7D"/>
    <w:rsid w:val="00E041AA"/>
    <w:rsid w:val="00E07693"/>
    <w:rsid w:val="00E11EA1"/>
    <w:rsid w:val="00E1692A"/>
    <w:rsid w:val="00E1695F"/>
    <w:rsid w:val="00E2010C"/>
    <w:rsid w:val="00E20D83"/>
    <w:rsid w:val="00E214A9"/>
    <w:rsid w:val="00E225CB"/>
    <w:rsid w:val="00E256C2"/>
    <w:rsid w:val="00E330B8"/>
    <w:rsid w:val="00E40E05"/>
    <w:rsid w:val="00E41DFD"/>
    <w:rsid w:val="00E4214F"/>
    <w:rsid w:val="00E47E3D"/>
    <w:rsid w:val="00E505C1"/>
    <w:rsid w:val="00E50B12"/>
    <w:rsid w:val="00E54D21"/>
    <w:rsid w:val="00E5508F"/>
    <w:rsid w:val="00E567FE"/>
    <w:rsid w:val="00E57B0D"/>
    <w:rsid w:val="00E67D9A"/>
    <w:rsid w:val="00E73C89"/>
    <w:rsid w:val="00E749F7"/>
    <w:rsid w:val="00E7558F"/>
    <w:rsid w:val="00E76D6B"/>
    <w:rsid w:val="00E77733"/>
    <w:rsid w:val="00E83CB5"/>
    <w:rsid w:val="00E83F11"/>
    <w:rsid w:val="00E87BA5"/>
    <w:rsid w:val="00E90997"/>
    <w:rsid w:val="00E93E90"/>
    <w:rsid w:val="00E9565E"/>
    <w:rsid w:val="00E95813"/>
    <w:rsid w:val="00E95911"/>
    <w:rsid w:val="00E96E5E"/>
    <w:rsid w:val="00EA0A5B"/>
    <w:rsid w:val="00EA2276"/>
    <w:rsid w:val="00EA3229"/>
    <w:rsid w:val="00EA33CE"/>
    <w:rsid w:val="00EA730C"/>
    <w:rsid w:val="00EA7A73"/>
    <w:rsid w:val="00EB0002"/>
    <w:rsid w:val="00EB08A6"/>
    <w:rsid w:val="00EB14FD"/>
    <w:rsid w:val="00EB70C4"/>
    <w:rsid w:val="00EB7875"/>
    <w:rsid w:val="00EC032C"/>
    <w:rsid w:val="00EC1FAF"/>
    <w:rsid w:val="00EC5AAB"/>
    <w:rsid w:val="00EC7B67"/>
    <w:rsid w:val="00ED42B0"/>
    <w:rsid w:val="00ED5C70"/>
    <w:rsid w:val="00EE0903"/>
    <w:rsid w:val="00EE0FB4"/>
    <w:rsid w:val="00EE1313"/>
    <w:rsid w:val="00EE2359"/>
    <w:rsid w:val="00EE245D"/>
    <w:rsid w:val="00EE3065"/>
    <w:rsid w:val="00EE36E1"/>
    <w:rsid w:val="00EF4DF7"/>
    <w:rsid w:val="00EF719A"/>
    <w:rsid w:val="00EF7AE6"/>
    <w:rsid w:val="00EF7F39"/>
    <w:rsid w:val="00F0309E"/>
    <w:rsid w:val="00F07EB3"/>
    <w:rsid w:val="00F10ECF"/>
    <w:rsid w:val="00F13159"/>
    <w:rsid w:val="00F15715"/>
    <w:rsid w:val="00F20D3B"/>
    <w:rsid w:val="00F23E01"/>
    <w:rsid w:val="00F2409B"/>
    <w:rsid w:val="00F25589"/>
    <w:rsid w:val="00F2741C"/>
    <w:rsid w:val="00F27B71"/>
    <w:rsid w:val="00F3025C"/>
    <w:rsid w:val="00F32FA2"/>
    <w:rsid w:val="00F3319A"/>
    <w:rsid w:val="00F34766"/>
    <w:rsid w:val="00F34E9B"/>
    <w:rsid w:val="00F362A2"/>
    <w:rsid w:val="00F378BE"/>
    <w:rsid w:val="00F405DD"/>
    <w:rsid w:val="00F41643"/>
    <w:rsid w:val="00F41E3A"/>
    <w:rsid w:val="00F41E51"/>
    <w:rsid w:val="00F4523A"/>
    <w:rsid w:val="00F4761A"/>
    <w:rsid w:val="00F51840"/>
    <w:rsid w:val="00F552CC"/>
    <w:rsid w:val="00F55464"/>
    <w:rsid w:val="00F579A9"/>
    <w:rsid w:val="00F624F6"/>
    <w:rsid w:val="00F66A40"/>
    <w:rsid w:val="00F673D7"/>
    <w:rsid w:val="00F706D8"/>
    <w:rsid w:val="00F710BA"/>
    <w:rsid w:val="00F76411"/>
    <w:rsid w:val="00F77270"/>
    <w:rsid w:val="00F828E0"/>
    <w:rsid w:val="00F8504F"/>
    <w:rsid w:val="00F92F9A"/>
    <w:rsid w:val="00F94CAA"/>
    <w:rsid w:val="00FA110D"/>
    <w:rsid w:val="00FA3D15"/>
    <w:rsid w:val="00FA7767"/>
    <w:rsid w:val="00FA7CBB"/>
    <w:rsid w:val="00FB1176"/>
    <w:rsid w:val="00FB1F6B"/>
    <w:rsid w:val="00FC03B7"/>
    <w:rsid w:val="00FC03DD"/>
    <w:rsid w:val="00FC2D12"/>
    <w:rsid w:val="00FC3493"/>
    <w:rsid w:val="00FC45FF"/>
    <w:rsid w:val="00FC66E4"/>
    <w:rsid w:val="00FD07D8"/>
    <w:rsid w:val="00FD2D32"/>
    <w:rsid w:val="00FD397E"/>
    <w:rsid w:val="00FD5F86"/>
    <w:rsid w:val="00FD77DA"/>
    <w:rsid w:val="00FF0F12"/>
    <w:rsid w:val="00FF5B8B"/>
    <w:rsid w:val="00FF7B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D577A"/>
  <w15:docId w15:val="{2976EEC5-10C9-41CD-AABE-B931ABC57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7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D77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77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77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77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77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77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77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77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7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D77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77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77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77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77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77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77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77DA"/>
    <w:rPr>
      <w:rFonts w:eastAsiaTheme="majorEastAsia" w:cstheme="majorBidi"/>
      <w:color w:val="272727" w:themeColor="text1" w:themeTint="D8"/>
    </w:rPr>
  </w:style>
  <w:style w:type="paragraph" w:styleId="Title">
    <w:name w:val="Title"/>
    <w:basedOn w:val="Normal"/>
    <w:next w:val="Normal"/>
    <w:link w:val="TitleChar"/>
    <w:uiPriority w:val="10"/>
    <w:qFormat/>
    <w:rsid w:val="00FD77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77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77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77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77DA"/>
    <w:pPr>
      <w:spacing w:before="160"/>
      <w:jc w:val="center"/>
    </w:pPr>
    <w:rPr>
      <w:i/>
      <w:iCs/>
      <w:color w:val="404040" w:themeColor="text1" w:themeTint="BF"/>
    </w:rPr>
  </w:style>
  <w:style w:type="character" w:customStyle="1" w:styleId="QuoteChar">
    <w:name w:val="Quote Char"/>
    <w:basedOn w:val="DefaultParagraphFont"/>
    <w:link w:val="Quote"/>
    <w:uiPriority w:val="29"/>
    <w:rsid w:val="00FD77DA"/>
    <w:rPr>
      <w:i/>
      <w:iCs/>
      <w:color w:val="404040" w:themeColor="text1" w:themeTint="BF"/>
    </w:rPr>
  </w:style>
  <w:style w:type="paragraph" w:styleId="ListParagraph">
    <w:name w:val="List Paragraph"/>
    <w:basedOn w:val="Normal"/>
    <w:uiPriority w:val="34"/>
    <w:qFormat/>
    <w:rsid w:val="00FD77DA"/>
    <w:pPr>
      <w:ind w:left="720"/>
      <w:contextualSpacing/>
    </w:pPr>
  </w:style>
  <w:style w:type="character" w:styleId="IntenseEmphasis">
    <w:name w:val="Intense Emphasis"/>
    <w:basedOn w:val="DefaultParagraphFont"/>
    <w:uiPriority w:val="21"/>
    <w:qFormat/>
    <w:rsid w:val="00FD77DA"/>
    <w:rPr>
      <w:i/>
      <w:iCs/>
      <w:color w:val="0F4761" w:themeColor="accent1" w:themeShade="BF"/>
    </w:rPr>
  </w:style>
  <w:style w:type="paragraph" w:styleId="IntenseQuote">
    <w:name w:val="Intense Quote"/>
    <w:basedOn w:val="Normal"/>
    <w:next w:val="Normal"/>
    <w:link w:val="IntenseQuoteChar"/>
    <w:uiPriority w:val="30"/>
    <w:qFormat/>
    <w:rsid w:val="00FD77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77DA"/>
    <w:rPr>
      <w:i/>
      <w:iCs/>
      <w:color w:val="0F4761" w:themeColor="accent1" w:themeShade="BF"/>
    </w:rPr>
  </w:style>
  <w:style w:type="character" w:styleId="IntenseReference">
    <w:name w:val="Intense Reference"/>
    <w:basedOn w:val="DefaultParagraphFont"/>
    <w:uiPriority w:val="32"/>
    <w:qFormat/>
    <w:rsid w:val="00FD77DA"/>
    <w:rPr>
      <w:b/>
      <w:bCs/>
      <w:smallCaps/>
      <w:color w:val="0F4761" w:themeColor="accent1" w:themeShade="BF"/>
      <w:spacing w:val="5"/>
    </w:rPr>
  </w:style>
  <w:style w:type="paragraph" w:styleId="Header">
    <w:name w:val="header"/>
    <w:basedOn w:val="Normal"/>
    <w:link w:val="HeaderChar"/>
    <w:uiPriority w:val="99"/>
    <w:unhideWhenUsed/>
    <w:rsid w:val="009A1C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CE7"/>
  </w:style>
  <w:style w:type="paragraph" w:styleId="Footer">
    <w:name w:val="footer"/>
    <w:basedOn w:val="Normal"/>
    <w:link w:val="FooterChar"/>
    <w:uiPriority w:val="99"/>
    <w:unhideWhenUsed/>
    <w:rsid w:val="009A1C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CE7"/>
  </w:style>
  <w:style w:type="paragraph" w:styleId="ListBullet">
    <w:name w:val="List Bullet"/>
    <w:basedOn w:val="Normal"/>
    <w:uiPriority w:val="99"/>
    <w:unhideWhenUsed/>
    <w:rsid w:val="000739C9"/>
    <w:pPr>
      <w:numPr>
        <w:numId w:val="1"/>
      </w:numPr>
      <w:contextualSpacing/>
    </w:pPr>
  </w:style>
  <w:style w:type="character" w:styleId="CommentReference">
    <w:name w:val="annotation reference"/>
    <w:basedOn w:val="DefaultParagraphFont"/>
    <w:uiPriority w:val="99"/>
    <w:semiHidden/>
    <w:unhideWhenUsed/>
    <w:rsid w:val="00F3319A"/>
    <w:rPr>
      <w:sz w:val="16"/>
      <w:szCs w:val="16"/>
    </w:rPr>
  </w:style>
  <w:style w:type="paragraph" w:styleId="CommentText">
    <w:name w:val="annotation text"/>
    <w:basedOn w:val="Normal"/>
    <w:link w:val="CommentTextChar"/>
    <w:uiPriority w:val="99"/>
    <w:unhideWhenUsed/>
    <w:rsid w:val="00F3319A"/>
    <w:pPr>
      <w:spacing w:line="240" w:lineRule="auto"/>
    </w:pPr>
    <w:rPr>
      <w:sz w:val="20"/>
      <w:szCs w:val="20"/>
    </w:rPr>
  </w:style>
  <w:style w:type="character" w:customStyle="1" w:styleId="CommentTextChar">
    <w:name w:val="Comment Text Char"/>
    <w:basedOn w:val="DefaultParagraphFont"/>
    <w:link w:val="CommentText"/>
    <w:uiPriority w:val="99"/>
    <w:rsid w:val="00F3319A"/>
    <w:rPr>
      <w:sz w:val="20"/>
      <w:szCs w:val="20"/>
    </w:rPr>
  </w:style>
  <w:style w:type="paragraph" w:styleId="CommentSubject">
    <w:name w:val="annotation subject"/>
    <w:basedOn w:val="CommentText"/>
    <w:next w:val="CommentText"/>
    <w:link w:val="CommentSubjectChar"/>
    <w:uiPriority w:val="99"/>
    <w:semiHidden/>
    <w:unhideWhenUsed/>
    <w:rsid w:val="00F3319A"/>
    <w:rPr>
      <w:b/>
      <w:bCs/>
    </w:rPr>
  </w:style>
  <w:style w:type="character" w:customStyle="1" w:styleId="CommentSubjectChar">
    <w:name w:val="Comment Subject Char"/>
    <w:basedOn w:val="CommentTextChar"/>
    <w:link w:val="CommentSubject"/>
    <w:uiPriority w:val="99"/>
    <w:semiHidden/>
    <w:rsid w:val="00F3319A"/>
    <w:rPr>
      <w:b/>
      <w:bCs/>
      <w:sz w:val="20"/>
      <w:szCs w:val="20"/>
    </w:rPr>
  </w:style>
  <w:style w:type="paragraph" w:styleId="NormalWeb">
    <w:name w:val="Normal (Web)"/>
    <w:basedOn w:val="Normal"/>
    <w:uiPriority w:val="99"/>
    <w:semiHidden/>
    <w:unhideWhenUsed/>
    <w:rsid w:val="00576160"/>
    <w:rPr>
      <w:rFonts w:ascii="Times New Roman" w:hAnsi="Times New Roman" w:cs="Times New Roman"/>
      <w:sz w:val="24"/>
      <w:szCs w:val="24"/>
    </w:rPr>
  </w:style>
  <w:style w:type="character" w:styleId="Hyperlink">
    <w:name w:val="Hyperlink"/>
    <w:basedOn w:val="DefaultParagraphFont"/>
    <w:uiPriority w:val="99"/>
    <w:unhideWhenUsed/>
    <w:rsid w:val="00576160"/>
    <w:rPr>
      <w:color w:val="467886" w:themeColor="hyperlink"/>
      <w:u w:val="single"/>
    </w:rPr>
  </w:style>
  <w:style w:type="character" w:customStyle="1" w:styleId="UnresolvedMention1">
    <w:name w:val="Unresolved Mention1"/>
    <w:basedOn w:val="DefaultParagraphFont"/>
    <w:uiPriority w:val="99"/>
    <w:semiHidden/>
    <w:unhideWhenUsed/>
    <w:rsid w:val="00576160"/>
    <w:rPr>
      <w:color w:val="605E5C"/>
      <w:shd w:val="clear" w:color="auto" w:fill="E1DFDD"/>
    </w:rPr>
  </w:style>
  <w:style w:type="paragraph" w:customStyle="1" w:styleId="footnotedescription">
    <w:name w:val="footnote description"/>
    <w:next w:val="Normal"/>
    <w:link w:val="footnotedescriptionChar"/>
    <w:hidden/>
    <w:rsid w:val="006E130C"/>
    <w:pPr>
      <w:spacing w:after="0" w:line="253" w:lineRule="auto"/>
    </w:pPr>
    <w:rPr>
      <w:rFonts w:ascii="Arial" w:eastAsia="Arial" w:hAnsi="Arial" w:cs="Arial"/>
      <w:color w:val="181818"/>
      <w:sz w:val="16"/>
      <w:szCs w:val="24"/>
      <w:lang w:eastAsia="en-GB"/>
    </w:rPr>
  </w:style>
  <w:style w:type="character" w:customStyle="1" w:styleId="footnotedescriptionChar">
    <w:name w:val="footnote description Char"/>
    <w:link w:val="footnotedescription"/>
    <w:rsid w:val="006E130C"/>
    <w:rPr>
      <w:rFonts w:ascii="Arial" w:eastAsia="Arial" w:hAnsi="Arial" w:cs="Arial"/>
      <w:color w:val="181818"/>
      <w:sz w:val="16"/>
      <w:szCs w:val="24"/>
      <w:lang w:eastAsia="en-GB"/>
    </w:rPr>
  </w:style>
  <w:style w:type="character" w:customStyle="1" w:styleId="footnotemark">
    <w:name w:val="footnote mark"/>
    <w:hidden/>
    <w:rsid w:val="006E130C"/>
    <w:rPr>
      <w:rFonts w:ascii="Arial" w:eastAsia="Arial" w:hAnsi="Arial" w:cs="Arial"/>
      <w:color w:val="181818"/>
      <w:sz w:val="16"/>
      <w:vertAlign w:val="superscript"/>
    </w:rPr>
  </w:style>
  <w:style w:type="table" w:customStyle="1" w:styleId="TableGrid">
    <w:name w:val="TableGrid"/>
    <w:rsid w:val="0030438D"/>
    <w:pPr>
      <w:spacing w:after="0" w:line="240" w:lineRule="auto"/>
    </w:pPr>
    <w:rPr>
      <w:rFonts w:eastAsiaTheme="minorEastAsia"/>
      <w:sz w:val="24"/>
      <w:szCs w:val="24"/>
      <w:lang w:eastAsia="en-GB"/>
    </w:rPr>
    <w:tblPr>
      <w:tblCellMar>
        <w:top w:w="0" w:type="dxa"/>
        <w:left w:w="0" w:type="dxa"/>
        <w:bottom w:w="0" w:type="dxa"/>
        <w:right w:w="0" w:type="dxa"/>
      </w:tblCellMar>
    </w:tblPr>
  </w:style>
  <w:style w:type="table" w:styleId="TableGrid0">
    <w:name w:val="Table Grid"/>
    <w:basedOn w:val="TableNormal"/>
    <w:uiPriority w:val="39"/>
    <w:rsid w:val="008541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C32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32FA"/>
    <w:rPr>
      <w:rFonts w:ascii="Tahoma" w:hAnsi="Tahoma" w:cs="Tahoma"/>
      <w:sz w:val="16"/>
      <w:szCs w:val="16"/>
    </w:rPr>
  </w:style>
  <w:style w:type="paragraph" w:styleId="Revision">
    <w:name w:val="Revision"/>
    <w:hidden/>
    <w:uiPriority w:val="99"/>
    <w:semiHidden/>
    <w:rsid w:val="005F63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83397">
      <w:bodyDiv w:val="1"/>
      <w:marLeft w:val="0"/>
      <w:marRight w:val="0"/>
      <w:marTop w:val="0"/>
      <w:marBottom w:val="0"/>
      <w:divBdr>
        <w:top w:val="none" w:sz="0" w:space="0" w:color="auto"/>
        <w:left w:val="none" w:sz="0" w:space="0" w:color="auto"/>
        <w:bottom w:val="none" w:sz="0" w:space="0" w:color="auto"/>
        <w:right w:val="none" w:sz="0" w:space="0" w:color="auto"/>
      </w:divBdr>
    </w:div>
    <w:div w:id="242374513">
      <w:bodyDiv w:val="1"/>
      <w:marLeft w:val="0"/>
      <w:marRight w:val="0"/>
      <w:marTop w:val="0"/>
      <w:marBottom w:val="0"/>
      <w:divBdr>
        <w:top w:val="none" w:sz="0" w:space="0" w:color="auto"/>
        <w:left w:val="none" w:sz="0" w:space="0" w:color="auto"/>
        <w:bottom w:val="none" w:sz="0" w:space="0" w:color="auto"/>
        <w:right w:val="none" w:sz="0" w:space="0" w:color="auto"/>
      </w:divBdr>
    </w:div>
    <w:div w:id="301228322">
      <w:bodyDiv w:val="1"/>
      <w:marLeft w:val="0"/>
      <w:marRight w:val="0"/>
      <w:marTop w:val="0"/>
      <w:marBottom w:val="0"/>
      <w:divBdr>
        <w:top w:val="none" w:sz="0" w:space="0" w:color="auto"/>
        <w:left w:val="none" w:sz="0" w:space="0" w:color="auto"/>
        <w:bottom w:val="none" w:sz="0" w:space="0" w:color="auto"/>
        <w:right w:val="none" w:sz="0" w:space="0" w:color="auto"/>
      </w:divBdr>
    </w:div>
    <w:div w:id="381947497">
      <w:bodyDiv w:val="1"/>
      <w:marLeft w:val="0"/>
      <w:marRight w:val="0"/>
      <w:marTop w:val="0"/>
      <w:marBottom w:val="0"/>
      <w:divBdr>
        <w:top w:val="none" w:sz="0" w:space="0" w:color="auto"/>
        <w:left w:val="none" w:sz="0" w:space="0" w:color="auto"/>
        <w:bottom w:val="none" w:sz="0" w:space="0" w:color="auto"/>
        <w:right w:val="none" w:sz="0" w:space="0" w:color="auto"/>
      </w:divBdr>
    </w:div>
    <w:div w:id="1214854562">
      <w:bodyDiv w:val="1"/>
      <w:marLeft w:val="0"/>
      <w:marRight w:val="0"/>
      <w:marTop w:val="0"/>
      <w:marBottom w:val="0"/>
      <w:divBdr>
        <w:top w:val="none" w:sz="0" w:space="0" w:color="auto"/>
        <w:left w:val="none" w:sz="0" w:space="0" w:color="auto"/>
        <w:bottom w:val="none" w:sz="0" w:space="0" w:color="auto"/>
        <w:right w:val="none" w:sz="0" w:space="0" w:color="auto"/>
      </w:divBdr>
    </w:div>
    <w:div w:id="1402562054">
      <w:bodyDiv w:val="1"/>
      <w:marLeft w:val="0"/>
      <w:marRight w:val="0"/>
      <w:marTop w:val="0"/>
      <w:marBottom w:val="0"/>
      <w:divBdr>
        <w:top w:val="none" w:sz="0" w:space="0" w:color="auto"/>
        <w:left w:val="none" w:sz="0" w:space="0" w:color="auto"/>
        <w:bottom w:val="none" w:sz="0" w:space="0" w:color="auto"/>
        <w:right w:val="none" w:sz="0" w:space="0" w:color="auto"/>
      </w:divBdr>
    </w:div>
    <w:div w:id="205411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cf83731-3086-4851-8d0f-20613e53e4a8">
      <Terms xmlns="http://schemas.microsoft.com/office/infopath/2007/PartnerControls"/>
    </lcf76f155ced4ddcb4097134ff3c332f>
    <TaxCatchAll xmlns="692c5ca5-c1a5-4565-81c0-9216d07212e2"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60B2B05731BEA4BA060E7AE02292DC2" ma:contentTypeVersion="18" ma:contentTypeDescription="Create a new document." ma:contentTypeScope="" ma:versionID="9654347641883154fdb61c53fdfb0dae">
  <xsd:schema xmlns:xsd="http://www.w3.org/2001/XMLSchema" xmlns:xs="http://www.w3.org/2001/XMLSchema" xmlns:p="http://schemas.microsoft.com/office/2006/metadata/properties" xmlns:ns2="dcf83731-3086-4851-8d0f-20613e53e4a8" xmlns:ns3="692c5ca5-c1a5-4565-81c0-9216d07212e2" targetNamespace="http://schemas.microsoft.com/office/2006/metadata/properties" ma:root="true" ma:fieldsID="e563b2dbc718a79f5df76d0adf76d302" ns2:_="" ns3:_="">
    <xsd:import namespace="dcf83731-3086-4851-8d0f-20613e53e4a8"/>
    <xsd:import namespace="692c5ca5-c1a5-4565-81c0-9216d07212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83731-3086-4851-8d0f-20613e53e4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f74c218-7e7d-42eb-a9d8-ee0b9857390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2c5ca5-c1a5-4565-81c0-9216d07212e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27ec9f1-8905-4462-bfd3-8e5974a0de00}" ma:internalName="TaxCatchAll" ma:showField="CatchAllData" ma:web="692c5ca5-c1a5-4565-81c0-9216d07212e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889076-053E-4C44-95B0-381B59B827B7}">
  <ds:schemaRefs>
    <ds:schemaRef ds:uri="http://schemas.microsoft.com/sharepoint/v3/contenttype/forms"/>
  </ds:schemaRefs>
</ds:datastoreItem>
</file>

<file path=customXml/itemProps2.xml><?xml version="1.0" encoding="utf-8"?>
<ds:datastoreItem xmlns:ds="http://schemas.openxmlformats.org/officeDocument/2006/customXml" ds:itemID="{B12856C1-6673-4789-88D0-1CF433241EBB}">
  <ds:schemaRefs>
    <ds:schemaRef ds:uri="http://schemas.microsoft.com/office/2006/metadata/properties"/>
    <ds:schemaRef ds:uri="http://schemas.microsoft.com/office/infopath/2007/PartnerControls"/>
    <ds:schemaRef ds:uri="dcf83731-3086-4851-8d0f-20613e53e4a8"/>
    <ds:schemaRef ds:uri="692c5ca5-c1a5-4565-81c0-9216d07212e2"/>
  </ds:schemaRefs>
</ds:datastoreItem>
</file>

<file path=customXml/itemProps3.xml><?xml version="1.0" encoding="utf-8"?>
<ds:datastoreItem xmlns:ds="http://schemas.openxmlformats.org/officeDocument/2006/customXml" ds:itemID="{F56C9A10-8F2D-416E-A2F3-5891E653A153}">
  <ds:schemaRefs>
    <ds:schemaRef ds:uri="http://schemas.openxmlformats.org/officeDocument/2006/bibliography"/>
  </ds:schemaRefs>
</ds:datastoreItem>
</file>

<file path=customXml/itemProps4.xml><?xml version="1.0" encoding="utf-8"?>
<ds:datastoreItem xmlns:ds="http://schemas.openxmlformats.org/officeDocument/2006/customXml" ds:itemID="{72229FF3-1E67-4BD0-9B79-2E7018AA56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83731-3086-4851-8d0f-20613e53e4a8"/>
    <ds:schemaRef ds:uri="692c5ca5-c1a5-4565-81c0-9216d07212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2276</Words>
  <Characters>13203</Characters>
  <Application>Microsoft Office Word</Application>
  <DocSecurity>0</DocSecurity>
  <Lines>366</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Kaye</dc:creator>
  <cp:lastModifiedBy>Jim Kaye</cp:lastModifiedBy>
  <cp:revision>11</cp:revision>
  <dcterms:created xsi:type="dcterms:W3CDTF">2025-04-14T13:36:00Z</dcterms:created>
  <dcterms:modified xsi:type="dcterms:W3CDTF">2025-04-14T17:40:00Z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0x010100260B2B05731BEA4BA060E7AE02292DC2</vt:lpwstr>
  </property>
  <property fmtid="{D5CDD505-2E9C-101B-9397-08002B2CF9AE}" pid="3" name="MediaServiceImageTags">
    <vt:lpwstr/>
  </property>
</Properties>
</file>