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73" w:rsidRDefault="002E6F1A" w:rsidP="002E6F1A">
      <w:pPr>
        <w:pStyle w:val="Title"/>
        <w:rPr>
          <w:rFonts w:eastAsia="Times New Roman"/>
        </w:rPr>
      </w:pPr>
      <w:bookmarkStart w:id="0" w:name="_GoBack"/>
      <w:bookmarkEnd w:id="0"/>
      <w:r>
        <w:rPr>
          <w:rFonts w:eastAsia="Times New Roman"/>
        </w:rPr>
        <w:t xml:space="preserve">MiFID </w:t>
      </w:r>
      <w:r w:rsidR="007A0D73">
        <w:rPr>
          <w:rFonts w:eastAsia="Times New Roman"/>
        </w:rPr>
        <w:t xml:space="preserve">Trading </w:t>
      </w:r>
      <w:r w:rsidR="00C57C5F">
        <w:rPr>
          <w:rFonts w:eastAsia="Times New Roman"/>
        </w:rPr>
        <w:t>C</w:t>
      </w:r>
      <w:r w:rsidR="007A0D73">
        <w:rPr>
          <w:rFonts w:eastAsia="Times New Roman"/>
        </w:rPr>
        <w:t>apacity</w:t>
      </w:r>
      <w:r>
        <w:rPr>
          <w:rFonts w:eastAsia="Times New Roman"/>
        </w:rPr>
        <w:t xml:space="preserve"> &amp; FIX Tag 29</w:t>
      </w:r>
    </w:p>
    <w:p w:rsidR="00AF451B" w:rsidRDefault="00AF451B" w:rsidP="00AF451B">
      <w:pPr>
        <w:pStyle w:val="Heading2"/>
        <w:rPr>
          <w:rFonts w:ascii="Arial" w:eastAsia="Times New Roman" w:hAnsi="Arial" w:cs="Arial"/>
        </w:rPr>
      </w:pPr>
      <w:r>
        <w:rPr>
          <w:rFonts w:ascii="Arial" w:eastAsia="Times New Roman" w:hAnsi="Arial" w:cs="Arial"/>
        </w:rPr>
        <w:t>MiFID Trading Capacity Values</w:t>
      </w:r>
    </w:p>
    <w:p w:rsidR="00AF451B" w:rsidRDefault="00AF451B" w:rsidP="00AF451B">
      <w:r>
        <w:t>MiFID II introduces three trade capacity values as follows:</w:t>
      </w:r>
    </w:p>
    <w:tbl>
      <w:tblPr>
        <w:tblW w:w="0" w:type="auto"/>
        <w:tblInd w:w="108" w:type="dxa"/>
        <w:tblCellMar>
          <w:left w:w="0" w:type="dxa"/>
          <w:right w:w="0" w:type="dxa"/>
        </w:tblCellMar>
        <w:tblLook w:val="04A0" w:firstRow="1" w:lastRow="0" w:firstColumn="1" w:lastColumn="0" w:noHBand="0" w:noVBand="1"/>
      </w:tblPr>
      <w:tblGrid>
        <w:gridCol w:w="826"/>
        <w:gridCol w:w="2718"/>
        <w:gridCol w:w="6946"/>
      </w:tblGrid>
      <w:tr w:rsidR="00AF451B" w:rsidRPr="00D652A4" w:rsidTr="004E588E">
        <w:tc>
          <w:tcPr>
            <w:tcW w:w="826"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rsidR="00AF451B" w:rsidRPr="00D652A4" w:rsidRDefault="00AF451B" w:rsidP="00AF451B">
            <w:pPr>
              <w:spacing w:after="0"/>
              <w:rPr>
                <w:b/>
                <w:bCs/>
                <w:color w:val="FFFFFF"/>
                <w:szCs w:val="20"/>
              </w:rPr>
            </w:pPr>
            <w:r w:rsidRPr="00D652A4">
              <w:rPr>
                <w:b/>
                <w:bCs/>
                <w:color w:val="FFFFFF"/>
                <w:szCs w:val="20"/>
              </w:rPr>
              <w:t>Value</w:t>
            </w:r>
          </w:p>
        </w:tc>
        <w:tc>
          <w:tcPr>
            <w:tcW w:w="2718" w:type="dxa"/>
            <w:tcBorders>
              <w:top w:val="single" w:sz="8" w:space="0" w:color="4F81BD"/>
              <w:left w:val="nil"/>
              <w:bottom w:val="nil"/>
              <w:right w:val="nil"/>
            </w:tcBorders>
            <w:shd w:val="clear" w:color="auto" w:fill="4F81BD"/>
            <w:tcMar>
              <w:top w:w="0" w:type="dxa"/>
              <w:left w:w="108" w:type="dxa"/>
              <w:bottom w:w="0" w:type="dxa"/>
              <w:right w:w="108" w:type="dxa"/>
            </w:tcMar>
            <w:hideMark/>
          </w:tcPr>
          <w:p w:rsidR="00AF451B" w:rsidRPr="00D652A4" w:rsidRDefault="00E725A6" w:rsidP="00AF451B">
            <w:pPr>
              <w:spacing w:after="0"/>
              <w:rPr>
                <w:b/>
                <w:bCs/>
                <w:color w:val="FFFFFF"/>
                <w:szCs w:val="20"/>
              </w:rPr>
            </w:pPr>
            <w:r>
              <w:rPr>
                <w:b/>
                <w:bCs/>
                <w:color w:val="FFFFFF"/>
                <w:szCs w:val="20"/>
              </w:rPr>
              <w:t>Meaning</w:t>
            </w:r>
          </w:p>
        </w:tc>
        <w:tc>
          <w:tcPr>
            <w:tcW w:w="6946"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hideMark/>
          </w:tcPr>
          <w:p w:rsidR="00AF451B" w:rsidRPr="00D652A4" w:rsidRDefault="00AF451B" w:rsidP="00AF451B">
            <w:pPr>
              <w:spacing w:after="0"/>
              <w:rPr>
                <w:b/>
                <w:bCs/>
                <w:color w:val="FFFFFF"/>
                <w:szCs w:val="20"/>
              </w:rPr>
            </w:pPr>
            <w:r w:rsidRPr="00D652A4">
              <w:rPr>
                <w:b/>
                <w:bCs/>
                <w:color w:val="FFFFFF"/>
                <w:szCs w:val="20"/>
              </w:rPr>
              <w:t>Supporting regulatory text</w:t>
            </w:r>
          </w:p>
        </w:tc>
      </w:tr>
      <w:tr w:rsidR="00AF451B" w:rsidRPr="00D652A4" w:rsidTr="004E588E">
        <w:tc>
          <w:tcPr>
            <w:tcW w:w="826" w:type="dxa"/>
            <w:tcBorders>
              <w:top w:val="single" w:sz="8" w:space="0" w:color="4F81BD"/>
              <w:left w:val="single" w:sz="8" w:space="0" w:color="4F81BD"/>
              <w:bottom w:val="single" w:sz="8" w:space="0" w:color="4F81BD"/>
              <w:right w:val="nil"/>
            </w:tcBorders>
            <w:shd w:val="clear" w:color="auto" w:fill="DBE5F1"/>
            <w:tcMar>
              <w:top w:w="0" w:type="dxa"/>
              <w:left w:w="108" w:type="dxa"/>
              <w:bottom w:w="0" w:type="dxa"/>
              <w:right w:w="108" w:type="dxa"/>
            </w:tcMar>
            <w:hideMark/>
          </w:tcPr>
          <w:p w:rsidR="00AF451B" w:rsidRPr="00D652A4" w:rsidRDefault="00AF451B" w:rsidP="00AF451B">
            <w:pPr>
              <w:spacing w:after="0"/>
              <w:rPr>
                <w:b/>
                <w:bCs/>
                <w:szCs w:val="20"/>
              </w:rPr>
            </w:pPr>
            <w:r w:rsidRPr="00D652A4">
              <w:rPr>
                <w:b/>
                <w:bCs/>
                <w:szCs w:val="20"/>
              </w:rPr>
              <w:t>DEAL</w:t>
            </w:r>
          </w:p>
        </w:tc>
        <w:tc>
          <w:tcPr>
            <w:tcW w:w="2718" w:type="dxa"/>
            <w:tcBorders>
              <w:top w:val="single" w:sz="8" w:space="0" w:color="4F81BD"/>
              <w:left w:val="nil"/>
              <w:bottom w:val="single" w:sz="8" w:space="0" w:color="4F81BD"/>
              <w:right w:val="nil"/>
            </w:tcBorders>
            <w:tcMar>
              <w:top w:w="0" w:type="dxa"/>
              <w:left w:w="108" w:type="dxa"/>
              <w:bottom w:w="0" w:type="dxa"/>
              <w:right w:w="108" w:type="dxa"/>
            </w:tcMar>
            <w:hideMark/>
          </w:tcPr>
          <w:p w:rsidR="00AF451B" w:rsidRPr="00D652A4" w:rsidRDefault="00AF451B" w:rsidP="00AF451B">
            <w:pPr>
              <w:spacing w:after="0"/>
              <w:rPr>
                <w:color w:val="000000"/>
                <w:szCs w:val="20"/>
              </w:rPr>
            </w:pPr>
            <w:r w:rsidRPr="00D652A4">
              <w:rPr>
                <w:color w:val="000000"/>
                <w:szCs w:val="20"/>
              </w:rPr>
              <w:t>Dealing on own account</w:t>
            </w:r>
          </w:p>
        </w:tc>
        <w:tc>
          <w:tcPr>
            <w:tcW w:w="6946"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rsidR="00AF451B" w:rsidRPr="00D652A4" w:rsidRDefault="00AF451B" w:rsidP="00AF451B">
            <w:pPr>
              <w:spacing w:after="0"/>
              <w:rPr>
                <w:color w:val="000000"/>
                <w:szCs w:val="20"/>
              </w:rPr>
            </w:pPr>
            <w:r w:rsidRPr="00D652A4">
              <w:rPr>
                <w:color w:val="000000"/>
                <w:szCs w:val="20"/>
              </w:rPr>
              <w:t>Trading against proprietary capital resulting in the conclusion of transactions in one or more financial instruments</w:t>
            </w:r>
            <w:r w:rsidR="00D652A4">
              <w:rPr>
                <w:rStyle w:val="FootnoteReference"/>
                <w:color w:val="000000"/>
                <w:szCs w:val="20"/>
              </w:rPr>
              <w:footnoteReference w:id="1"/>
            </w:r>
            <w:r w:rsidR="00D652A4">
              <w:rPr>
                <w:color w:val="000000"/>
                <w:szCs w:val="20"/>
              </w:rPr>
              <w:t>.</w:t>
            </w:r>
          </w:p>
          <w:p w:rsidR="00AF451B" w:rsidRPr="00D652A4" w:rsidRDefault="00AF451B" w:rsidP="00AF451B">
            <w:pPr>
              <w:spacing w:after="0"/>
              <w:rPr>
                <w:i/>
                <w:iCs/>
                <w:color w:val="000000"/>
                <w:szCs w:val="20"/>
              </w:rPr>
            </w:pPr>
            <w:r w:rsidRPr="00D652A4">
              <w:rPr>
                <w:i/>
                <w:iCs/>
                <w:color w:val="000000"/>
                <w:szCs w:val="20"/>
              </w:rPr>
              <w:t>Note also:</w:t>
            </w:r>
          </w:p>
          <w:p w:rsidR="00AF451B" w:rsidRPr="00D652A4" w:rsidRDefault="00AF451B" w:rsidP="00D652A4">
            <w:pPr>
              <w:spacing w:after="0"/>
              <w:rPr>
                <w:szCs w:val="20"/>
              </w:rPr>
            </w:pPr>
            <w:r w:rsidRPr="00D652A4">
              <w:rPr>
                <w:color w:val="000000"/>
                <w:szCs w:val="20"/>
              </w:rPr>
              <w:t>Dealing on own account when executing client orders should include firms executing orders from different clients by matching them on a matched principal basis (back-to-back trading), which should be regarded as acting as principal and should be subject to the provisions of this Directive covering both the execution of orders on behalf of clients and dealing on own account</w:t>
            </w:r>
            <w:r w:rsidR="00D652A4">
              <w:rPr>
                <w:rStyle w:val="FootnoteReference"/>
                <w:color w:val="000000"/>
                <w:szCs w:val="20"/>
              </w:rPr>
              <w:footnoteReference w:id="2"/>
            </w:r>
            <w:r w:rsidR="00D652A4">
              <w:rPr>
                <w:color w:val="000000"/>
                <w:szCs w:val="20"/>
              </w:rPr>
              <w:t>.</w:t>
            </w:r>
          </w:p>
        </w:tc>
      </w:tr>
      <w:tr w:rsidR="00AF451B" w:rsidRPr="00D652A4" w:rsidTr="004E588E">
        <w:tc>
          <w:tcPr>
            <w:tcW w:w="826" w:type="dxa"/>
            <w:tcBorders>
              <w:top w:val="nil"/>
              <w:left w:val="single" w:sz="8" w:space="0" w:color="4F81BD"/>
              <w:bottom w:val="nil"/>
              <w:right w:val="nil"/>
            </w:tcBorders>
            <w:shd w:val="clear" w:color="auto" w:fill="DBE5F1"/>
            <w:tcMar>
              <w:top w:w="0" w:type="dxa"/>
              <w:left w:w="108" w:type="dxa"/>
              <w:bottom w:w="0" w:type="dxa"/>
              <w:right w:w="108" w:type="dxa"/>
            </w:tcMar>
            <w:hideMark/>
          </w:tcPr>
          <w:p w:rsidR="00AF451B" w:rsidRPr="00D652A4" w:rsidRDefault="00AF451B" w:rsidP="00AF451B">
            <w:pPr>
              <w:spacing w:after="0"/>
              <w:rPr>
                <w:b/>
                <w:bCs/>
                <w:szCs w:val="20"/>
              </w:rPr>
            </w:pPr>
            <w:r w:rsidRPr="00D652A4">
              <w:rPr>
                <w:b/>
                <w:bCs/>
                <w:szCs w:val="20"/>
              </w:rPr>
              <w:t>MTCH</w:t>
            </w:r>
          </w:p>
        </w:tc>
        <w:tc>
          <w:tcPr>
            <w:tcW w:w="2718" w:type="dxa"/>
            <w:tcMar>
              <w:top w:w="0" w:type="dxa"/>
              <w:left w:w="108" w:type="dxa"/>
              <w:bottom w:w="0" w:type="dxa"/>
              <w:right w:w="108" w:type="dxa"/>
            </w:tcMar>
            <w:hideMark/>
          </w:tcPr>
          <w:p w:rsidR="00AF451B" w:rsidRPr="00D652A4" w:rsidRDefault="00AF451B" w:rsidP="00AF451B">
            <w:pPr>
              <w:spacing w:after="0"/>
              <w:rPr>
                <w:color w:val="000000"/>
                <w:szCs w:val="20"/>
              </w:rPr>
            </w:pPr>
            <w:r w:rsidRPr="00D652A4">
              <w:rPr>
                <w:color w:val="000000"/>
                <w:szCs w:val="20"/>
              </w:rPr>
              <w:t>Matched principal</w:t>
            </w:r>
          </w:p>
        </w:tc>
        <w:tc>
          <w:tcPr>
            <w:tcW w:w="6946" w:type="dxa"/>
            <w:tcBorders>
              <w:top w:val="nil"/>
              <w:left w:val="nil"/>
              <w:bottom w:val="nil"/>
              <w:right w:val="single" w:sz="8" w:space="0" w:color="4F81BD"/>
            </w:tcBorders>
            <w:tcMar>
              <w:top w:w="0" w:type="dxa"/>
              <w:left w:w="108" w:type="dxa"/>
              <w:bottom w:w="0" w:type="dxa"/>
              <w:right w:w="108" w:type="dxa"/>
            </w:tcMar>
            <w:hideMark/>
          </w:tcPr>
          <w:p w:rsidR="00AF451B" w:rsidRPr="00D652A4" w:rsidRDefault="00AF451B" w:rsidP="00D652A4">
            <w:pPr>
              <w:spacing w:after="0"/>
              <w:rPr>
                <w:szCs w:val="20"/>
              </w:rPr>
            </w:pPr>
            <w:r w:rsidRPr="00D652A4">
              <w:rPr>
                <w:color w:val="000000"/>
                <w:szCs w:val="20"/>
              </w:rPr>
              <w:t>A transaction where the facilitator interposes itself between the buyer and the seller to the transaction in such a way that it is never exposed to market risk throughout the execution of the transaction, with both sides executed simultaneously, and where the transaction is concluded at a price where the facilitator makes no profit or loss, other than a previously disclosed commission, fee or charge for the transaction</w:t>
            </w:r>
            <w:r w:rsidR="00D652A4">
              <w:rPr>
                <w:rStyle w:val="FootnoteReference"/>
                <w:color w:val="000000"/>
                <w:szCs w:val="20"/>
              </w:rPr>
              <w:footnoteReference w:id="3"/>
            </w:r>
            <w:r w:rsidRPr="00D652A4">
              <w:rPr>
                <w:color w:val="000000"/>
                <w:szCs w:val="20"/>
              </w:rPr>
              <w:t>.</w:t>
            </w:r>
          </w:p>
        </w:tc>
      </w:tr>
      <w:tr w:rsidR="00AF451B" w:rsidRPr="00D652A4" w:rsidTr="004E588E">
        <w:tc>
          <w:tcPr>
            <w:tcW w:w="826" w:type="dxa"/>
            <w:tcBorders>
              <w:top w:val="single" w:sz="8" w:space="0" w:color="4F81BD"/>
              <w:left w:val="single" w:sz="8" w:space="0" w:color="4F81BD"/>
              <w:bottom w:val="single" w:sz="8" w:space="0" w:color="4F81BD"/>
              <w:right w:val="nil"/>
            </w:tcBorders>
            <w:shd w:val="clear" w:color="auto" w:fill="DBE5F1"/>
            <w:tcMar>
              <w:top w:w="0" w:type="dxa"/>
              <w:left w:w="108" w:type="dxa"/>
              <w:bottom w:w="0" w:type="dxa"/>
              <w:right w:w="108" w:type="dxa"/>
            </w:tcMar>
            <w:hideMark/>
          </w:tcPr>
          <w:p w:rsidR="00AF451B" w:rsidRPr="00D652A4" w:rsidRDefault="00AF451B" w:rsidP="00AF451B">
            <w:pPr>
              <w:spacing w:after="0"/>
              <w:rPr>
                <w:b/>
                <w:bCs/>
                <w:szCs w:val="20"/>
              </w:rPr>
            </w:pPr>
            <w:r w:rsidRPr="00D652A4">
              <w:rPr>
                <w:b/>
                <w:bCs/>
                <w:szCs w:val="20"/>
              </w:rPr>
              <w:t>AOTC</w:t>
            </w:r>
          </w:p>
        </w:tc>
        <w:tc>
          <w:tcPr>
            <w:tcW w:w="2718" w:type="dxa"/>
            <w:tcBorders>
              <w:top w:val="single" w:sz="8" w:space="0" w:color="4F81BD"/>
              <w:left w:val="nil"/>
              <w:bottom w:val="single" w:sz="8" w:space="0" w:color="4F81BD"/>
              <w:right w:val="nil"/>
            </w:tcBorders>
            <w:tcMar>
              <w:top w:w="0" w:type="dxa"/>
              <w:left w:w="108" w:type="dxa"/>
              <w:bottom w:w="0" w:type="dxa"/>
              <w:right w:w="108" w:type="dxa"/>
            </w:tcMar>
            <w:hideMark/>
          </w:tcPr>
          <w:p w:rsidR="00AF451B" w:rsidRPr="00D652A4" w:rsidRDefault="00AF451B" w:rsidP="00AF451B">
            <w:pPr>
              <w:spacing w:after="0"/>
              <w:rPr>
                <w:szCs w:val="20"/>
              </w:rPr>
            </w:pPr>
            <w:r w:rsidRPr="00D652A4">
              <w:rPr>
                <w:szCs w:val="20"/>
              </w:rPr>
              <w:t>Any other trading capacity</w:t>
            </w:r>
          </w:p>
        </w:tc>
        <w:tc>
          <w:tcPr>
            <w:tcW w:w="6946"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rsidR="00AF451B" w:rsidRPr="00D652A4" w:rsidRDefault="00AF451B" w:rsidP="00AF451B">
            <w:pPr>
              <w:spacing w:after="0"/>
              <w:rPr>
                <w:szCs w:val="20"/>
              </w:rPr>
            </w:pPr>
          </w:p>
        </w:tc>
      </w:tr>
    </w:tbl>
    <w:p w:rsidR="00AF451B" w:rsidRDefault="00AF451B" w:rsidP="00AF451B">
      <w:pPr>
        <w:rPr>
          <w:szCs w:val="20"/>
        </w:rPr>
      </w:pPr>
    </w:p>
    <w:p w:rsidR="00D652A4" w:rsidRDefault="00D652A4" w:rsidP="00AF451B">
      <w:r>
        <w:t xml:space="preserve">In addition to the above, </w:t>
      </w:r>
      <w:r w:rsidR="00C57C5F">
        <w:t xml:space="preserve">ESMA </w:t>
      </w:r>
      <w:r>
        <w:t xml:space="preserve">have </w:t>
      </w:r>
      <w:r w:rsidR="00C57C5F">
        <w:t xml:space="preserve">published </w:t>
      </w:r>
      <w:r w:rsidR="00E725A6">
        <w:t>L</w:t>
      </w:r>
      <w:r w:rsidR="00AF451B">
        <w:t xml:space="preserve">evel 3 guidance </w:t>
      </w:r>
      <w:r w:rsidR="00C57C5F">
        <w:t>for transaction reporting which provide</w:t>
      </w:r>
      <w:r>
        <w:t>s</w:t>
      </w:r>
      <w:r w:rsidR="00C57C5F">
        <w:t xml:space="preserve"> examples and further text regarding the usage of </w:t>
      </w:r>
      <w:r>
        <w:t>these trading capacities</w:t>
      </w:r>
      <w:r>
        <w:rPr>
          <w:rStyle w:val="FootnoteReference"/>
        </w:rPr>
        <w:footnoteReference w:id="4"/>
      </w:r>
      <w:r w:rsidR="00AF451B">
        <w:t>.</w:t>
      </w:r>
      <w:r>
        <w:t xml:space="preserve"> Of particular note are the following:</w:t>
      </w:r>
    </w:p>
    <w:p w:rsidR="00D652A4" w:rsidRDefault="00D652A4" w:rsidP="00D652A4">
      <w:pPr>
        <w:pStyle w:val="ListBullet"/>
      </w:pPr>
      <w:r>
        <w:t>AOTC, though defined as ‘any other trading capacity’, includes trading in an agency capacity</w:t>
      </w:r>
      <w:r w:rsidR="00D45B72">
        <w:rPr>
          <w:rStyle w:val="FootnoteReference"/>
        </w:rPr>
        <w:footnoteReference w:id="5"/>
      </w:r>
      <w:r>
        <w:t>.</w:t>
      </w:r>
    </w:p>
    <w:p w:rsidR="00D652A4" w:rsidRDefault="00D652A4" w:rsidP="00D652A4">
      <w:pPr>
        <w:pStyle w:val="ListBullet"/>
      </w:pPr>
      <w:r>
        <w:t xml:space="preserve">DEA (Direct Electronic Access) activity </w:t>
      </w:r>
      <w:r w:rsidR="00E725A6">
        <w:t>should be reported as AOTC or MTCH</w:t>
      </w:r>
      <w:r w:rsidR="00D45B72">
        <w:rPr>
          <w:rStyle w:val="FootnoteReference"/>
        </w:rPr>
        <w:footnoteReference w:id="6"/>
      </w:r>
      <w:r>
        <w:t>.</w:t>
      </w:r>
    </w:p>
    <w:p w:rsidR="001E4060" w:rsidRPr="00813C56" w:rsidRDefault="00D45B72" w:rsidP="007A0D73">
      <w:pPr>
        <w:pStyle w:val="ListBullet"/>
      </w:pPr>
      <w:r>
        <w:t>Both DEAL and MTCH may be used for executing client orders on a riskless principal basis</w:t>
      </w:r>
      <w:r>
        <w:rPr>
          <w:rStyle w:val="FootnoteReference"/>
        </w:rPr>
        <w:footnoteReference w:id="7"/>
      </w:r>
      <w:r w:rsidR="00813C56">
        <w:t>, with the main difference relating to transaction reporting:</w:t>
      </w:r>
    </w:p>
    <w:p w:rsidR="00594C75" w:rsidRDefault="00594C75" w:rsidP="00594C75">
      <w:pPr>
        <w:pStyle w:val="ListParagraph"/>
        <w:numPr>
          <w:ilvl w:val="0"/>
          <w:numId w:val="6"/>
        </w:numPr>
        <w:rPr>
          <w:rFonts w:ascii="Arial" w:hAnsi="Arial" w:cs="Arial"/>
          <w:sz w:val="20"/>
          <w:szCs w:val="20"/>
        </w:rPr>
      </w:pPr>
      <w:r>
        <w:rPr>
          <w:rFonts w:ascii="Arial" w:hAnsi="Arial" w:cs="Arial"/>
          <w:sz w:val="20"/>
          <w:szCs w:val="20"/>
        </w:rPr>
        <w:t>DEAL permits the aggregation of executions and average pricing over an order</w:t>
      </w:r>
      <w:r>
        <w:rPr>
          <w:rStyle w:val="FootnoteReference"/>
          <w:rFonts w:ascii="Arial" w:hAnsi="Arial" w:cs="Arial"/>
          <w:sz w:val="20"/>
          <w:szCs w:val="20"/>
        </w:rPr>
        <w:footnoteReference w:id="8"/>
      </w:r>
      <w:r>
        <w:rPr>
          <w:rFonts w:ascii="Arial" w:hAnsi="Arial" w:cs="Arial"/>
          <w:sz w:val="20"/>
          <w:szCs w:val="20"/>
        </w:rPr>
        <w:t>. This is because the broker will need to produce a single client-side transaction report</w:t>
      </w:r>
      <w:r w:rsidR="00496607">
        <w:rPr>
          <w:rFonts w:ascii="Arial" w:hAnsi="Arial" w:cs="Arial"/>
          <w:sz w:val="20"/>
          <w:szCs w:val="20"/>
        </w:rPr>
        <w:t xml:space="preserve"> and the client will need to produce an equivalent market-side transaction report</w:t>
      </w:r>
      <w:r>
        <w:rPr>
          <w:rStyle w:val="FootnoteReference"/>
          <w:rFonts w:ascii="Arial" w:hAnsi="Arial" w:cs="Arial"/>
          <w:sz w:val="20"/>
          <w:szCs w:val="20"/>
        </w:rPr>
        <w:footnoteReference w:id="9"/>
      </w:r>
      <w:r>
        <w:rPr>
          <w:rFonts w:ascii="Arial" w:hAnsi="Arial" w:cs="Arial"/>
          <w:sz w:val="20"/>
          <w:szCs w:val="20"/>
        </w:rPr>
        <w:t>.</w:t>
      </w:r>
    </w:p>
    <w:p w:rsidR="00D45B72" w:rsidRDefault="00D45B72" w:rsidP="00D45B72">
      <w:pPr>
        <w:pStyle w:val="ListParagraph"/>
        <w:numPr>
          <w:ilvl w:val="0"/>
          <w:numId w:val="6"/>
        </w:numPr>
        <w:spacing w:after="240"/>
        <w:rPr>
          <w:rFonts w:ascii="Arial" w:hAnsi="Arial" w:cs="Arial"/>
          <w:sz w:val="20"/>
          <w:szCs w:val="20"/>
        </w:rPr>
      </w:pPr>
      <w:r>
        <w:rPr>
          <w:rFonts w:ascii="Arial" w:hAnsi="Arial" w:cs="Arial"/>
          <w:sz w:val="20"/>
          <w:szCs w:val="20"/>
        </w:rPr>
        <w:t xml:space="preserve">MTCH requires that details of each individual execution be made </w:t>
      </w:r>
      <w:r w:rsidR="00813C56">
        <w:rPr>
          <w:rFonts w:ascii="Arial" w:hAnsi="Arial" w:cs="Arial"/>
          <w:sz w:val="20"/>
          <w:szCs w:val="20"/>
        </w:rPr>
        <w:t>available to the client. This is because the broker will need to produce client-side transaction reports</w:t>
      </w:r>
      <w:r>
        <w:rPr>
          <w:rFonts w:ascii="Arial" w:hAnsi="Arial" w:cs="Arial"/>
          <w:sz w:val="20"/>
          <w:szCs w:val="20"/>
        </w:rPr>
        <w:t xml:space="preserve"> </w:t>
      </w:r>
      <w:r w:rsidR="00813C56">
        <w:rPr>
          <w:rFonts w:ascii="Arial" w:hAnsi="Arial" w:cs="Arial"/>
          <w:sz w:val="20"/>
          <w:szCs w:val="20"/>
        </w:rPr>
        <w:t>for each execution</w:t>
      </w:r>
      <w:r w:rsidR="00594C75">
        <w:rPr>
          <w:rStyle w:val="FootnoteReference"/>
          <w:rFonts w:ascii="Arial" w:hAnsi="Arial" w:cs="Arial"/>
          <w:sz w:val="20"/>
          <w:szCs w:val="20"/>
        </w:rPr>
        <w:footnoteReference w:id="10"/>
      </w:r>
      <w:r w:rsidR="00496607">
        <w:rPr>
          <w:rFonts w:ascii="Arial" w:hAnsi="Arial" w:cs="Arial"/>
          <w:sz w:val="20"/>
          <w:szCs w:val="20"/>
        </w:rPr>
        <w:t xml:space="preserve"> and so the client will need to produce equivalent market-side transaction reports for each execution</w:t>
      </w:r>
      <w:r>
        <w:rPr>
          <w:rFonts w:ascii="Arial" w:hAnsi="Arial" w:cs="Arial"/>
          <w:sz w:val="20"/>
          <w:szCs w:val="20"/>
        </w:rPr>
        <w:t>.</w:t>
      </w:r>
    </w:p>
    <w:p w:rsidR="00D45B72" w:rsidRDefault="00D45B72" w:rsidP="007A0D73">
      <w:pPr>
        <w:pStyle w:val="Heading2"/>
        <w:rPr>
          <w:rFonts w:ascii="Arial" w:eastAsia="Times New Roman" w:hAnsi="Arial" w:cs="Arial"/>
        </w:rPr>
      </w:pPr>
    </w:p>
    <w:p w:rsidR="00686314" w:rsidRDefault="002E6F1A" w:rsidP="00686314">
      <w:pPr>
        <w:pStyle w:val="Heading2"/>
        <w:rPr>
          <w:rFonts w:ascii="Arial" w:eastAsia="Times New Roman" w:hAnsi="Arial" w:cs="Arial"/>
        </w:rPr>
      </w:pPr>
      <w:r>
        <w:rPr>
          <w:rFonts w:ascii="Arial" w:eastAsia="Times New Roman" w:hAnsi="Arial" w:cs="Arial"/>
        </w:rPr>
        <w:t xml:space="preserve">Implications and </w:t>
      </w:r>
      <w:r w:rsidR="00686314">
        <w:rPr>
          <w:rFonts w:ascii="Arial" w:eastAsia="Times New Roman" w:hAnsi="Arial" w:cs="Arial"/>
        </w:rPr>
        <w:t>Requirements</w:t>
      </w:r>
    </w:p>
    <w:p w:rsidR="00686314" w:rsidRDefault="00686314" w:rsidP="00686314">
      <w:r>
        <w:t>The underlying business requirements are as follows:</w:t>
      </w:r>
    </w:p>
    <w:p w:rsidR="00686314" w:rsidRDefault="00686314" w:rsidP="00686314">
      <w:pPr>
        <w:pStyle w:val="ListBullet"/>
      </w:pPr>
      <w:r>
        <w:t>To carry ESMA’s trading capacity definition (AOTC, MTCH, DEAL) on:</w:t>
      </w:r>
    </w:p>
    <w:p w:rsidR="00686314" w:rsidRDefault="00686314" w:rsidP="00686314">
      <w:pPr>
        <w:pStyle w:val="ListBullet"/>
        <w:numPr>
          <w:ilvl w:val="0"/>
          <w:numId w:val="8"/>
        </w:numPr>
        <w:ind w:left="567" w:hanging="284"/>
      </w:pPr>
      <w:r>
        <w:t>Order messages between participants/members of trading venues and trading venues in order for the trading venues to meet their order record keeping obligations</w:t>
      </w:r>
      <w:r>
        <w:rPr>
          <w:rStyle w:val="FootnoteReference"/>
        </w:rPr>
        <w:footnoteReference w:id="11"/>
      </w:r>
      <w:r>
        <w:t>.</w:t>
      </w:r>
    </w:p>
    <w:p w:rsidR="00686314" w:rsidRDefault="00686314" w:rsidP="00686314">
      <w:pPr>
        <w:pStyle w:val="ListBullet"/>
        <w:numPr>
          <w:ilvl w:val="0"/>
          <w:numId w:val="8"/>
        </w:numPr>
        <w:spacing w:after="240"/>
        <w:ind w:left="567" w:hanging="284"/>
      </w:pPr>
      <w:r>
        <w:t>Execution messages between investment firms to meet their transaction reporting and record keeping obligations</w:t>
      </w:r>
      <w:r w:rsidR="00E725A6">
        <w:t xml:space="preserve"> under MiFID II</w:t>
      </w:r>
      <w:r>
        <w:rPr>
          <w:rStyle w:val="FootnoteReference"/>
        </w:rPr>
        <w:footnoteReference w:id="12"/>
      </w:r>
      <w:r>
        <w:t>.</w:t>
      </w:r>
    </w:p>
    <w:p w:rsidR="00686314" w:rsidRDefault="00686314" w:rsidP="00686314">
      <w:pPr>
        <w:pStyle w:val="ListBullet"/>
        <w:tabs>
          <w:tab w:val="clear" w:pos="360"/>
        </w:tabs>
        <w:ind w:left="284" w:hanging="284"/>
      </w:pPr>
      <w:r>
        <w:t>To permit investment firms to distinguish between DEAL-capacity executions undertaken on a riskless principal basis (i.e. matching executions from a venue or other firm with no change in price) as opposed to a principal basis (i.e. external executions with change of price, or where the investment firm is executing on risk, e.g. as a systematic internaliser). This is important as</w:t>
      </w:r>
      <w:r w:rsidR="00856BE9">
        <w:t xml:space="preserve"> a number of </w:t>
      </w:r>
      <w:r w:rsidR="00E725A6">
        <w:t>market participants</w:t>
      </w:r>
      <w:r>
        <w:t xml:space="preserve"> consider</w:t>
      </w:r>
      <w:r>
        <w:rPr>
          <w:rStyle w:val="FootnoteReference"/>
        </w:rPr>
        <w:footnoteReference w:id="13"/>
      </w:r>
      <w:r>
        <w:t xml:space="preserve"> that DEAL-capacity principal executions are not eligible for commission sharing for US funds under SEC rule 28(e), whereas DEAL-capacity riskless principal executions (along with AOTC and MTCH) are.</w:t>
      </w:r>
    </w:p>
    <w:p w:rsidR="004E588E" w:rsidRDefault="004E588E" w:rsidP="004E588E">
      <w:pPr>
        <w:pStyle w:val="ListBullet"/>
        <w:numPr>
          <w:ilvl w:val="0"/>
          <w:numId w:val="0"/>
        </w:numPr>
        <w:ind w:left="360" w:hanging="360"/>
      </w:pPr>
    </w:p>
    <w:p w:rsidR="001E4060" w:rsidRDefault="001E4060" w:rsidP="001E4060">
      <w:pPr>
        <w:pStyle w:val="Heading2"/>
        <w:rPr>
          <w:rFonts w:ascii="Arial" w:eastAsia="Times New Roman" w:hAnsi="Arial" w:cs="Arial"/>
        </w:rPr>
      </w:pPr>
      <w:r>
        <w:rPr>
          <w:rFonts w:ascii="Arial" w:eastAsia="Times New Roman" w:hAnsi="Arial" w:cs="Arial"/>
        </w:rPr>
        <w:t xml:space="preserve">Proposed </w:t>
      </w:r>
      <w:r w:rsidR="00496607">
        <w:rPr>
          <w:rFonts w:ascii="Arial" w:eastAsia="Times New Roman" w:hAnsi="Arial" w:cs="Arial"/>
        </w:rPr>
        <w:t xml:space="preserve">Guidance for </w:t>
      </w:r>
      <w:r w:rsidR="002E6F1A">
        <w:rPr>
          <w:rFonts w:ascii="Arial" w:eastAsia="Times New Roman" w:hAnsi="Arial" w:cs="Arial"/>
        </w:rPr>
        <w:t>U</w:t>
      </w:r>
      <w:r w:rsidR="00496607">
        <w:rPr>
          <w:rFonts w:ascii="Arial" w:eastAsia="Times New Roman" w:hAnsi="Arial" w:cs="Arial"/>
        </w:rPr>
        <w:t>s</w:t>
      </w:r>
      <w:r w:rsidR="002E6F1A">
        <w:rPr>
          <w:rFonts w:ascii="Arial" w:eastAsia="Times New Roman" w:hAnsi="Arial" w:cs="Arial"/>
        </w:rPr>
        <w:t>ag</w:t>
      </w:r>
      <w:r w:rsidR="00496607">
        <w:rPr>
          <w:rFonts w:ascii="Arial" w:eastAsia="Times New Roman" w:hAnsi="Arial" w:cs="Arial"/>
        </w:rPr>
        <w:t>e of T</w:t>
      </w:r>
      <w:r>
        <w:rPr>
          <w:rFonts w:ascii="Arial" w:eastAsia="Times New Roman" w:hAnsi="Arial" w:cs="Arial"/>
        </w:rPr>
        <w:t>ag 29 LastCapacity</w:t>
      </w:r>
    </w:p>
    <w:p w:rsidR="00552661" w:rsidRPr="004E588E" w:rsidRDefault="00552661" w:rsidP="004E588E">
      <w:r w:rsidRPr="00552661">
        <w:t xml:space="preserve">Rather than introducing a new FIX tag to communicate these MiFID-related capacity changes, the FIX MiFID Transparency Working Group has concluded that the best way of meeting the above requirements is to extend the existing tag 29 to include a new ‘riskless principal’ value, and to provide updated guidance and mapping between the Tag 29 values and the MiFID II capacities. This approach involves expanding on and modifying the existing (historic) FIX Guidance for Usage of Tag 29 LastCapacity (see Appendix). </w:t>
      </w:r>
    </w:p>
    <w:p w:rsidR="00686314" w:rsidRDefault="00552661" w:rsidP="00552661">
      <w:r w:rsidRPr="00552661">
        <w:t>The new values and usage guidance are as follows:</w:t>
      </w:r>
    </w:p>
    <w:tbl>
      <w:tblPr>
        <w:tblW w:w="0" w:type="auto"/>
        <w:tblCellMar>
          <w:left w:w="0" w:type="dxa"/>
          <w:right w:w="0" w:type="dxa"/>
        </w:tblCellMar>
        <w:tblLook w:val="04A0" w:firstRow="1" w:lastRow="0" w:firstColumn="1" w:lastColumn="0" w:noHBand="0" w:noVBand="1"/>
      </w:tblPr>
      <w:tblGrid>
        <w:gridCol w:w="2376"/>
        <w:gridCol w:w="8222"/>
      </w:tblGrid>
      <w:tr w:rsidR="001E4060" w:rsidTr="004E588E">
        <w:trPr>
          <w:cantSplit/>
          <w:tblHeader/>
        </w:trPr>
        <w:tc>
          <w:tcPr>
            <w:tcW w:w="2376"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rsidR="001E4060" w:rsidRDefault="001E4060" w:rsidP="00AF451B">
            <w:pPr>
              <w:spacing w:after="0"/>
              <w:rPr>
                <w:b/>
                <w:bCs/>
                <w:color w:val="FFFFFF"/>
                <w:sz w:val="21"/>
                <w:szCs w:val="21"/>
                <w:lang w:val="en-US"/>
              </w:rPr>
            </w:pPr>
            <w:r w:rsidRPr="00804334">
              <w:rPr>
                <w:b/>
                <w:bCs/>
                <w:color w:val="FFFFFF"/>
                <w:sz w:val="21"/>
                <w:szCs w:val="21"/>
                <w:lang w:val="en-US"/>
              </w:rPr>
              <w:t>Value</w:t>
            </w:r>
            <w:r w:rsidR="00AF451B">
              <w:rPr>
                <w:b/>
                <w:bCs/>
                <w:color w:val="FFFFFF"/>
                <w:sz w:val="21"/>
                <w:szCs w:val="21"/>
                <w:lang w:val="en-US"/>
              </w:rPr>
              <w:t xml:space="preserve"> &amp; Description</w:t>
            </w:r>
          </w:p>
        </w:tc>
        <w:tc>
          <w:tcPr>
            <w:tcW w:w="8222"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hideMark/>
          </w:tcPr>
          <w:p w:rsidR="001E4060" w:rsidRDefault="00496607" w:rsidP="00496607">
            <w:pPr>
              <w:spacing w:after="0"/>
              <w:rPr>
                <w:b/>
                <w:bCs/>
                <w:color w:val="FFFFFF"/>
                <w:sz w:val="21"/>
                <w:szCs w:val="21"/>
                <w:lang w:val="en-US"/>
              </w:rPr>
            </w:pPr>
            <w:r>
              <w:rPr>
                <w:b/>
                <w:bCs/>
                <w:color w:val="FFFFFF"/>
                <w:sz w:val="21"/>
                <w:szCs w:val="21"/>
                <w:lang w:val="en-US"/>
              </w:rPr>
              <w:t>Explanatory Guidance</w:t>
            </w:r>
          </w:p>
        </w:tc>
      </w:tr>
      <w:tr w:rsidR="001E4060" w:rsidTr="004E588E">
        <w:trPr>
          <w:cantSplit/>
        </w:trPr>
        <w:tc>
          <w:tcPr>
            <w:tcW w:w="2376" w:type="dxa"/>
            <w:tcBorders>
              <w:top w:val="single" w:sz="8" w:space="0" w:color="4F81BD"/>
              <w:left w:val="single" w:sz="8" w:space="0" w:color="4F81BD"/>
              <w:bottom w:val="single" w:sz="8" w:space="0" w:color="4F81BD"/>
              <w:right w:val="nil"/>
            </w:tcBorders>
            <w:shd w:val="clear" w:color="auto" w:fill="DBE5F1"/>
            <w:tcMar>
              <w:top w:w="0" w:type="dxa"/>
              <w:left w:w="108" w:type="dxa"/>
              <w:bottom w:w="0" w:type="dxa"/>
              <w:right w:w="108" w:type="dxa"/>
            </w:tcMar>
            <w:hideMark/>
          </w:tcPr>
          <w:p w:rsidR="001E4060" w:rsidRDefault="001E4060" w:rsidP="00AF451B">
            <w:pPr>
              <w:rPr>
                <w:b/>
                <w:bCs/>
                <w:sz w:val="21"/>
                <w:szCs w:val="21"/>
                <w:lang w:val="en-US"/>
              </w:rPr>
            </w:pPr>
            <w:r w:rsidRPr="00804334">
              <w:rPr>
                <w:b/>
                <w:bCs/>
                <w:sz w:val="21"/>
                <w:szCs w:val="21"/>
                <w:lang w:val="en-US"/>
              </w:rPr>
              <w:t>1 (agent)</w:t>
            </w:r>
          </w:p>
        </w:tc>
        <w:tc>
          <w:tcPr>
            <w:tcW w:w="8222"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1E4060" w:rsidRDefault="001E4060" w:rsidP="00AF451B">
            <w:pPr>
              <w:pStyle w:val="ListParagraph"/>
              <w:numPr>
                <w:ilvl w:val="0"/>
                <w:numId w:val="2"/>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An execution on a public market or from an external party (e.g. broker) conducted on an agency basis.</w:t>
            </w:r>
          </w:p>
          <w:p w:rsidR="001E4060" w:rsidRPr="00804334" w:rsidRDefault="001E4060" w:rsidP="00496607">
            <w:pPr>
              <w:pStyle w:val="ListParagraph"/>
              <w:numPr>
                <w:ilvl w:val="0"/>
                <w:numId w:val="2"/>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For MiFID II, this will be used to represent ‘AOTC’ capacity.</w:t>
            </w:r>
          </w:p>
        </w:tc>
      </w:tr>
      <w:tr w:rsidR="001E4060" w:rsidTr="004E588E">
        <w:trPr>
          <w:cantSplit/>
        </w:trPr>
        <w:tc>
          <w:tcPr>
            <w:tcW w:w="2376" w:type="dxa"/>
            <w:tcBorders>
              <w:top w:val="nil"/>
              <w:left w:val="single" w:sz="8" w:space="0" w:color="4F81BD"/>
              <w:bottom w:val="nil"/>
              <w:right w:val="nil"/>
            </w:tcBorders>
            <w:shd w:val="clear" w:color="auto" w:fill="DBE5F1"/>
            <w:tcMar>
              <w:top w:w="0" w:type="dxa"/>
              <w:left w:w="108" w:type="dxa"/>
              <w:bottom w:w="0" w:type="dxa"/>
              <w:right w:w="108" w:type="dxa"/>
            </w:tcMar>
            <w:hideMark/>
          </w:tcPr>
          <w:p w:rsidR="001E4060" w:rsidRDefault="001E4060" w:rsidP="00AF451B">
            <w:pPr>
              <w:rPr>
                <w:b/>
                <w:bCs/>
                <w:sz w:val="21"/>
                <w:szCs w:val="21"/>
                <w:lang w:val="en-US"/>
              </w:rPr>
            </w:pPr>
            <w:r w:rsidRPr="00804334">
              <w:rPr>
                <w:b/>
                <w:bCs/>
                <w:sz w:val="21"/>
                <w:szCs w:val="21"/>
                <w:lang w:val="en-US"/>
              </w:rPr>
              <w:t>2 (cross as agent)</w:t>
            </w:r>
          </w:p>
        </w:tc>
        <w:tc>
          <w:tcPr>
            <w:tcW w:w="8222" w:type="dxa"/>
            <w:tcBorders>
              <w:top w:val="nil"/>
              <w:left w:val="nil"/>
              <w:bottom w:val="nil"/>
              <w:right w:val="single" w:sz="8" w:space="0" w:color="4F81BD"/>
            </w:tcBorders>
            <w:tcMar>
              <w:top w:w="0" w:type="dxa"/>
              <w:left w:w="108" w:type="dxa"/>
              <w:bottom w:w="0" w:type="dxa"/>
              <w:right w:w="108" w:type="dxa"/>
            </w:tcMar>
            <w:hideMark/>
          </w:tcPr>
          <w:p w:rsidR="001E4060" w:rsidRDefault="001E4060" w:rsidP="00AF451B">
            <w:pPr>
              <w:pStyle w:val="ListParagraph"/>
              <w:numPr>
                <w:ilvl w:val="0"/>
                <w:numId w:val="3"/>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 xml:space="preserve">An execution between two clients of the executing firm, taking place within the firm, and conducted on an agency basis. </w:t>
            </w:r>
          </w:p>
          <w:p w:rsidR="001E4060" w:rsidRPr="00804334" w:rsidRDefault="001E4060" w:rsidP="00496607">
            <w:pPr>
              <w:pStyle w:val="ListParagraph"/>
              <w:numPr>
                <w:ilvl w:val="0"/>
                <w:numId w:val="3"/>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For MiFID II, this will be used to represent ‘AOTC’ capacity.</w:t>
            </w:r>
          </w:p>
        </w:tc>
      </w:tr>
      <w:tr w:rsidR="001E4060" w:rsidTr="004E588E">
        <w:trPr>
          <w:cantSplit/>
        </w:trPr>
        <w:tc>
          <w:tcPr>
            <w:tcW w:w="2376" w:type="dxa"/>
            <w:tcBorders>
              <w:top w:val="single" w:sz="8" w:space="0" w:color="4F81BD"/>
              <w:left w:val="single" w:sz="8" w:space="0" w:color="4F81BD"/>
              <w:bottom w:val="single" w:sz="8" w:space="0" w:color="4F81BD"/>
              <w:right w:val="nil"/>
            </w:tcBorders>
            <w:shd w:val="clear" w:color="auto" w:fill="DBE5F1"/>
            <w:tcMar>
              <w:top w:w="0" w:type="dxa"/>
              <w:left w:w="108" w:type="dxa"/>
              <w:bottom w:w="0" w:type="dxa"/>
              <w:right w:w="108" w:type="dxa"/>
            </w:tcMar>
            <w:hideMark/>
          </w:tcPr>
          <w:p w:rsidR="001E4060" w:rsidRDefault="001E4060" w:rsidP="00AF451B">
            <w:pPr>
              <w:rPr>
                <w:b/>
                <w:bCs/>
                <w:sz w:val="21"/>
                <w:szCs w:val="21"/>
                <w:lang w:val="en-US"/>
              </w:rPr>
            </w:pPr>
            <w:r w:rsidRPr="00804334">
              <w:rPr>
                <w:b/>
                <w:bCs/>
                <w:sz w:val="21"/>
                <w:szCs w:val="21"/>
                <w:lang w:val="en-US"/>
              </w:rPr>
              <w:t>3 (cross as principal)</w:t>
            </w:r>
          </w:p>
        </w:tc>
        <w:tc>
          <w:tcPr>
            <w:tcW w:w="8222"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1E4060" w:rsidRPr="00804334" w:rsidRDefault="001E4060" w:rsidP="00AF451B">
            <w:pPr>
              <w:pStyle w:val="ListParagraph"/>
              <w:numPr>
                <w:ilvl w:val="0"/>
                <w:numId w:val="2"/>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An execution on a public market or from an external party (e.g. broker) conducted on a matched principal basis in line with the MiFID definition of ‘MTCH’ capacity.</w:t>
            </w:r>
          </w:p>
        </w:tc>
      </w:tr>
      <w:tr w:rsidR="001E4060" w:rsidTr="004E588E">
        <w:trPr>
          <w:cantSplit/>
        </w:trPr>
        <w:tc>
          <w:tcPr>
            <w:tcW w:w="2376" w:type="dxa"/>
            <w:tcBorders>
              <w:top w:val="nil"/>
              <w:left w:val="single" w:sz="8" w:space="0" w:color="4F81BD"/>
              <w:bottom w:val="nil"/>
              <w:right w:val="nil"/>
            </w:tcBorders>
            <w:shd w:val="clear" w:color="auto" w:fill="DBE5F1"/>
            <w:tcMar>
              <w:top w:w="0" w:type="dxa"/>
              <w:left w:w="108" w:type="dxa"/>
              <w:bottom w:w="0" w:type="dxa"/>
              <w:right w:w="108" w:type="dxa"/>
            </w:tcMar>
            <w:hideMark/>
          </w:tcPr>
          <w:p w:rsidR="001E4060" w:rsidRDefault="001E4060" w:rsidP="00AF451B">
            <w:pPr>
              <w:rPr>
                <w:b/>
                <w:bCs/>
                <w:sz w:val="21"/>
                <w:szCs w:val="21"/>
                <w:lang w:val="en-US"/>
              </w:rPr>
            </w:pPr>
            <w:r w:rsidRPr="00804334">
              <w:rPr>
                <w:b/>
                <w:bCs/>
                <w:sz w:val="21"/>
                <w:szCs w:val="21"/>
                <w:lang w:val="en-US"/>
              </w:rPr>
              <w:t>4 (principal)</w:t>
            </w:r>
          </w:p>
        </w:tc>
        <w:tc>
          <w:tcPr>
            <w:tcW w:w="8222" w:type="dxa"/>
            <w:tcBorders>
              <w:top w:val="nil"/>
              <w:left w:val="nil"/>
              <w:bottom w:val="nil"/>
              <w:right w:val="single" w:sz="8" w:space="0" w:color="4F81BD"/>
            </w:tcBorders>
            <w:tcMar>
              <w:top w:w="0" w:type="dxa"/>
              <w:left w:w="108" w:type="dxa"/>
              <w:bottom w:w="0" w:type="dxa"/>
              <w:right w:w="108" w:type="dxa"/>
            </w:tcMar>
            <w:hideMark/>
          </w:tcPr>
          <w:p w:rsidR="001E4060" w:rsidRDefault="001E4060" w:rsidP="00AF451B">
            <w:pPr>
              <w:pStyle w:val="ListParagraph"/>
              <w:numPr>
                <w:ilvl w:val="0"/>
                <w:numId w:val="5"/>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 xml:space="preserve">An execution where the executing firm is </w:t>
            </w:r>
            <w:r w:rsidR="0045679A">
              <w:rPr>
                <w:rFonts w:ascii="Arial" w:hAnsi="Arial" w:cs="Arial"/>
                <w:sz w:val="21"/>
                <w:szCs w:val="21"/>
                <w:lang w:val="en-US"/>
              </w:rPr>
              <w:t>committing capital (e.g. a risk fill or change in price on fills obtained from markets or external parties).</w:t>
            </w:r>
          </w:p>
          <w:p w:rsidR="001E4060" w:rsidRPr="00804334" w:rsidRDefault="001E4060" w:rsidP="00AF451B">
            <w:pPr>
              <w:pStyle w:val="ListParagraph"/>
              <w:numPr>
                <w:ilvl w:val="0"/>
                <w:numId w:val="5"/>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Where the FIX execution message is being used to communicate an indicative price and quantity (for example when being used by the executing firm to write a swap), regardless of the source of liquidity.</w:t>
            </w:r>
          </w:p>
          <w:p w:rsidR="001E4060" w:rsidRPr="00804334" w:rsidRDefault="001E4060" w:rsidP="00496607">
            <w:pPr>
              <w:pStyle w:val="ListParagraph"/>
              <w:numPr>
                <w:ilvl w:val="0"/>
                <w:numId w:val="5"/>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For MiFID II, this will be used to represent ‘DEAL’ capacity.</w:t>
            </w:r>
          </w:p>
        </w:tc>
      </w:tr>
      <w:tr w:rsidR="001E4060" w:rsidTr="004E588E">
        <w:trPr>
          <w:cantSplit/>
        </w:trPr>
        <w:tc>
          <w:tcPr>
            <w:tcW w:w="2376" w:type="dxa"/>
            <w:tcBorders>
              <w:top w:val="single" w:sz="8" w:space="0" w:color="4F81BD"/>
              <w:left w:val="single" w:sz="8" w:space="0" w:color="4F81BD"/>
              <w:bottom w:val="single" w:sz="8" w:space="0" w:color="4F81BD"/>
              <w:right w:val="nil"/>
            </w:tcBorders>
            <w:shd w:val="clear" w:color="auto" w:fill="DBE5F1"/>
            <w:tcMar>
              <w:top w:w="0" w:type="dxa"/>
              <w:left w:w="108" w:type="dxa"/>
              <w:bottom w:w="0" w:type="dxa"/>
              <w:right w:w="108" w:type="dxa"/>
            </w:tcMar>
            <w:hideMark/>
          </w:tcPr>
          <w:p w:rsidR="001E4060" w:rsidRDefault="001E4060" w:rsidP="00AF451B">
            <w:pPr>
              <w:rPr>
                <w:b/>
                <w:bCs/>
                <w:sz w:val="21"/>
                <w:szCs w:val="21"/>
                <w:lang w:val="en-US"/>
              </w:rPr>
            </w:pPr>
            <w:r w:rsidRPr="00804334">
              <w:rPr>
                <w:b/>
                <w:bCs/>
                <w:sz w:val="21"/>
                <w:szCs w:val="21"/>
                <w:lang w:val="en-US"/>
              </w:rPr>
              <w:t>5 (riskless principal)</w:t>
            </w:r>
          </w:p>
        </w:tc>
        <w:tc>
          <w:tcPr>
            <w:tcW w:w="8222" w:type="dxa"/>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1E4060" w:rsidRDefault="001E4060" w:rsidP="00AF451B">
            <w:pPr>
              <w:pStyle w:val="ListParagraph"/>
              <w:numPr>
                <w:ilvl w:val="0"/>
                <w:numId w:val="2"/>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An execution on a public market or from an external party (e.g. broker) conducted on a riskless principal basis.</w:t>
            </w:r>
          </w:p>
          <w:p w:rsidR="001E4060" w:rsidRPr="00804334" w:rsidRDefault="001E4060" w:rsidP="00496607">
            <w:pPr>
              <w:pStyle w:val="ListParagraph"/>
              <w:numPr>
                <w:ilvl w:val="0"/>
                <w:numId w:val="2"/>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For MiFID II, this will be used to represent ‘DEAL’ capacity.</w:t>
            </w:r>
          </w:p>
        </w:tc>
      </w:tr>
    </w:tbl>
    <w:p w:rsidR="00496607" w:rsidRDefault="00496607" w:rsidP="001E4060"/>
    <w:p w:rsidR="007A0D73" w:rsidRDefault="00686314" w:rsidP="007A0D73">
      <w:r>
        <w:lastRenderedPageBreak/>
        <w:t xml:space="preserve">The following examples illustrate how Tag 29 (and Tag 30 for </w:t>
      </w:r>
      <w:r w:rsidR="002E6F1A">
        <w:t>venue of execution)</w:t>
      </w:r>
      <w:r>
        <w:t xml:space="preserve"> will be set on execution messages from brokers to their clients under various trading scenarios. The table also shows the equivalent MiFID capacity</w:t>
      </w:r>
      <w:r w:rsidR="002E6F1A">
        <w:t>,</w:t>
      </w:r>
      <w:r>
        <w:t xml:space="preserve"> </w:t>
      </w:r>
      <w:r w:rsidR="002E6F1A">
        <w:t>which can be inferred from Tag 29:</w:t>
      </w:r>
    </w:p>
    <w:tbl>
      <w:tblPr>
        <w:tblStyle w:val="LightList-Accent1"/>
        <w:tblW w:w="5000" w:type="pct"/>
        <w:tblLook w:val="04A0" w:firstRow="1" w:lastRow="0" w:firstColumn="1" w:lastColumn="0" w:noHBand="0" w:noVBand="1"/>
      </w:tblPr>
      <w:tblGrid>
        <w:gridCol w:w="1526"/>
        <w:gridCol w:w="5674"/>
        <w:gridCol w:w="989"/>
        <w:gridCol w:w="1275"/>
        <w:gridCol w:w="1218"/>
      </w:tblGrid>
      <w:tr w:rsidR="00BE169A" w:rsidTr="004E588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4" w:type="pct"/>
            <w:vAlign w:val="bottom"/>
          </w:tcPr>
          <w:p w:rsidR="001548B7" w:rsidRDefault="00DD6A98">
            <w:pPr>
              <w:spacing w:after="0" w:line="240" w:lineRule="auto"/>
              <w:rPr>
                <w:bCs w:val="0"/>
                <w:color w:val="FFFFFF"/>
                <w:szCs w:val="20"/>
                <w:lang w:val="en-US"/>
              </w:rPr>
            </w:pPr>
            <w:r>
              <w:rPr>
                <w:color w:val="FFFFFF"/>
                <w:szCs w:val="20"/>
                <w:lang w:val="en-US"/>
              </w:rPr>
              <w:t>Venue</w:t>
            </w:r>
          </w:p>
        </w:tc>
        <w:tc>
          <w:tcPr>
            <w:tcW w:w="2656" w:type="pct"/>
            <w:vAlign w:val="bottom"/>
            <w:hideMark/>
          </w:tcPr>
          <w:p w:rsidR="001548B7" w:rsidRDefault="00552661">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szCs w:val="20"/>
                <w:lang w:val="en-US"/>
              </w:rPr>
            </w:pPr>
            <w:r w:rsidRPr="00804334">
              <w:rPr>
                <w:color w:val="FFFFFF"/>
                <w:szCs w:val="20"/>
                <w:lang w:val="en-US"/>
              </w:rPr>
              <w:t>Scenario</w:t>
            </w:r>
          </w:p>
        </w:tc>
        <w:tc>
          <w:tcPr>
            <w:tcW w:w="463" w:type="pct"/>
            <w:vAlign w:val="bottom"/>
            <w:hideMark/>
          </w:tcPr>
          <w:p w:rsidR="001548B7" w:rsidRDefault="0055266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Cs w:val="20"/>
                <w:lang w:val="en-US"/>
              </w:rPr>
            </w:pPr>
            <w:r w:rsidRPr="00804334">
              <w:rPr>
                <w:color w:val="FFFFFF"/>
                <w:szCs w:val="20"/>
                <w:lang w:val="en-US"/>
              </w:rPr>
              <w:t>Tag</w:t>
            </w:r>
            <w:r w:rsidR="00BE169A">
              <w:rPr>
                <w:color w:val="FFFFFF"/>
                <w:szCs w:val="20"/>
                <w:lang w:val="en-US"/>
              </w:rPr>
              <w:t xml:space="preserve"> </w:t>
            </w:r>
            <w:r w:rsidRPr="00804334">
              <w:rPr>
                <w:color w:val="FFFFFF"/>
                <w:szCs w:val="20"/>
                <w:lang w:val="en-US"/>
              </w:rPr>
              <w:t>29</w:t>
            </w:r>
          </w:p>
        </w:tc>
        <w:tc>
          <w:tcPr>
            <w:tcW w:w="597" w:type="pct"/>
            <w:vAlign w:val="bottom"/>
            <w:hideMark/>
          </w:tcPr>
          <w:p w:rsidR="001548B7" w:rsidRDefault="0055266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Cs w:val="20"/>
                <w:lang w:val="en-US"/>
              </w:rPr>
            </w:pPr>
            <w:r w:rsidRPr="00804334">
              <w:rPr>
                <w:color w:val="FFFFFF"/>
                <w:szCs w:val="20"/>
                <w:lang w:val="en-US"/>
              </w:rPr>
              <w:t>Tag 30</w:t>
            </w:r>
          </w:p>
        </w:tc>
        <w:tc>
          <w:tcPr>
            <w:tcW w:w="570" w:type="pct"/>
            <w:vAlign w:val="bottom"/>
            <w:hideMark/>
          </w:tcPr>
          <w:p w:rsidR="001548B7" w:rsidRDefault="00DD6A98">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szCs w:val="20"/>
                <w:lang w:val="en-US"/>
              </w:rPr>
            </w:pPr>
            <w:r>
              <w:rPr>
                <w:color w:val="FFFFFF"/>
                <w:szCs w:val="20"/>
                <w:lang w:val="en-US"/>
              </w:rPr>
              <w:t>Implied</w:t>
            </w:r>
            <w:r w:rsidR="00552661">
              <w:rPr>
                <w:b w:val="0"/>
                <w:bCs w:val="0"/>
                <w:color w:val="FFFFFF"/>
                <w:szCs w:val="20"/>
                <w:lang w:val="en-US"/>
              </w:rPr>
              <w:t xml:space="preserve"> </w:t>
            </w:r>
            <w:r w:rsidR="00552661" w:rsidRPr="00804334">
              <w:rPr>
                <w:color w:val="FFFFFF"/>
                <w:szCs w:val="20"/>
                <w:lang w:val="en-US"/>
              </w:rPr>
              <w:t>MiFID Capacity</w:t>
            </w:r>
          </w:p>
        </w:tc>
      </w:tr>
      <w:tr w:rsidR="00BE169A" w:rsidTr="004E58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4" w:type="pct"/>
          </w:tcPr>
          <w:p w:rsidR="001548B7" w:rsidRDefault="00552661" w:rsidP="00427B77">
            <w:pPr>
              <w:spacing w:after="120" w:line="240" w:lineRule="auto"/>
              <w:rPr>
                <w:b w:val="0"/>
                <w:bCs w:val="0"/>
                <w:szCs w:val="20"/>
                <w:lang w:val="en-US"/>
              </w:rPr>
            </w:pPr>
            <w:r>
              <w:rPr>
                <w:szCs w:val="20"/>
                <w:lang w:val="en-US"/>
              </w:rPr>
              <w:t xml:space="preserve">Venue (non-DEA) </w:t>
            </w:r>
            <w:r w:rsidR="004E588E">
              <w:rPr>
                <w:szCs w:val="20"/>
                <w:lang w:val="en-US"/>
              </w:rPr>
              <w:t>or</w:t>
            </w:r>
            <w:r>
              <w:rPr>
                <w:szCs w:val="20"/>
                <w:lang w:val="en-US"/>
              </w:rPr>
              <w:t xml:space="preserve"> </w:t>
            </w:r>
            <w:r w:rsidR="00427B77">
              <w:rPr>
                <w:szCs w:val="20"/>
                <w:lang w:val="en-US"/>
              </w:rPr>
              <w:t>external b</w:t>
            </w:r>
            <w:r>
              <w:rPr>
                <w:szCs w:val="20"/>
                <w:lang w:val="en-US"/>
              </w:rPr>
              <w:t>roker</w:t>
            </w:r>
          </w:p>
        </w:tc>
        <w:tc>
          <w:tcPr>
            <w:tcW w:w="2656" w:type="pct"/>
            <w:hideMark/>
          </w:tcPr>
          <w:p w:rsidR="001548B7" w:rsidRDefault="00552661">
            <w:pPr>
              <w:spacing w:after="120" w:line="240" w:lineRule="auto"/>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Fills from trading venues (non-DEA) or external brokers, in agency capacity</w:t>
            </w:r>
          </w:p>
        </w:tc>
        <w:tc>
          <w:tcPr>
            <w:tcW w:w="463"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1</w:t>
            </w:r>
          </w:p>
        </w:tc>
        <w:tc>
          <w:tcPr>
            <w:tcW w:w="597"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Venue MIC</w:t>
            </w:r>
          </w:p>
        </w:tc>
        <w:tc>
          <w:tcPr>
            <w:tcW w:w="570"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AOTC</w:t>
            </w:r>
          </w:p>
        </w:tc>
      </w:tr>
      <w:tr w:rsidR="00BE169A" w:rsidTr="004E588E">
        <w:trPr>
          <w:cantSplit/>
        </w:trPr>
        <w:tc>
          <w:tcPr>
            <w:cnfStyle w:val="001000000000" w:firstRow="0" w:lastRow="0" w:firstColumn="1" w:lastColumn="0" w:oddVBand="0" w:evenVBand="0" w:oddHBand="0" w:evenHBand="0" w:firstRowFirstColumn="0" w:firstRowLastColumn="0" w:lastRowFirstColumn="0" w:lastRowLastColumn="0"/>
            <w:tcW w:w="714" w:type="pct"/>
          </w:tcPr>
          <w:p w:rsidR="001548B7" w:rsidRDefault="00552661" w:rsidP="00427B77">
            <w:pPr>
              <w:spacing w:after="120" w:line="240" w:lineRule="auto"/>
              <w:rPr>
                <w:b w:val="0"/>
                <w:bCs w:val="0"/>
                <w:szCs w:val="20"/>
                <w:lang w:val="en-US"/>
              </w:rPr>
            </w:pPr>
            <w:r>
              <w:rPr>
                <w:szCs w:val="20"/>
                <w:lang w:val="en-US"/>
              </w:rPr>
              <w:t xml:space="preserve">Venue (non-DEA) </w:t>
            </w:r>
            <w:r w:rsidR="004E588E">
              <w:rPr>
                <w:szCs w:val="20"/>
                <w:lang w:val="en-US"/>
              </w:rPr>
              <w:t>or</w:t>
            </w:r>
            <w:r>
              <w:rPr>
                <w:szCs w:val="20"/>
                <w:lang w:val="en-US"/>
              </w:rPr>
              <w:t xml:space="preserve"> </w:t>
            </w:r>
            <w:r w:rsidR="00427B77">
              <w:rPr>
                <w:szCs w:val="20"/>
                <w:lang w:val="en-US"/>
              </w:rPr>
              <w:t>external b</w:t>
            </w:r>
            <w:r>
              <w:rPr>
                <w:szCs w:val="20"/>
                <w:lang w:val="en-US"/>
              </w:rPr>
              <w:t>roker</w:t>
            </w:r>
          </w:p>
        </w:tc>
        <w:tc>
          <w:tcPr>
            <w:tcW w:w="2656" w:type="pct"/>
            <w:hideMark/>
          </w:tcPr>
          <w:p w:rsidR="001548B7" w:rsidRDefault="00552661">
            <w:pPr>
              <w:spacing w:after="120" w:line="240" w:lineRule="auto"/>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Fills from trading venues (non-DEA) or external brokers, not in agency capacity</w:t>
            </w:r>
            <w:r>
              <w:rPr>
                <w:szCs w:val="20"/>
                <w:lang w:val="en-US"/>
              </w:rPr>
              <w:t>, but where broker is returning the same price as achieved in the venue or by the external broker</w:t>
            </w:r>
          </w:p>
          <w:p w:rsidR="001548B7" w:rsidRDefault="00DD6A98">
            <w:pPr>
              <w:spacing w:after="120" w:line="240" w:lineRule="auto"/>
              <w:cnfStyle w:val="000000000000" w:firstRow="0" w:lastRow="0" w:firstColumn="0" w:lastColumn="0" w:oddVBand="0" w:evenVBand="0" w:oddHBand="0" w:evenHBand="0" w:firstRowFirstColumn="0" w:firstRowLastColumn="0" w:lastRowFirstColumn="0" w:lastRowLastColumn="0"/>
              <w:rPr>
                <w:i/>
                <w:szCs w:val="20"/>
                <w:lang w:val="en-US"/>
              </w:rPr>
            </w:pPr>
            <w:r w:rsidRPr="00DD6A98">
              <w:rPr>
                <w:i/>
                <w:szCs w:val="20"/>
                <w:lang w:val="en-US"/>
              </w:rPr>
              <w:t>(</w:t>
            </w:r>
            <w:r w:rsidR="00552661">
              <w:rPr>
                <w:i/>
                <w:szCs w:val="20"/>
                <w:lang w:val="en-US"/>
              </w:rPr>
              <w:t>Requires t</w:t>
            </w:r>
            <w:r w:rsidRPr="00DD6A98">
              <w:rPr>
                <w:i/>
                <w:szCs w:val="20"/>
                <w:lang w:val="en-US"/>
              </w:rPr>
              <w:t>ransaction reporting on Avg-Price allocation/booking)</w:t>
            </w:r>
          </w:p>
        </w:tc>
        <w:tc>
          <w:tcPr>
            <w:tcW w:w="463"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 xml:space="preserve">5 </w:t>
            </w:r>
          </w:p>
        </w:tc>
        <w:tc>
          <w:tcPr>
            <w:tcW w:w="597"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Venue MIC</w:t>
            </w:r>
          </w:p>
        </w:tc>
        <w:tc>
          <w:tcPr>
            <w:tcW w:w="570"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DEAL</w:t>
            </w:r>
            <w:r>
              <w:rPr>
                <w:szCs w:val="20"/>
                <w:lang w:val="en-US"/>
              </w:rPr>
              <w:br/>
            </w:r>
          </w:p>
        </w:tc>
      </w:tr>
      <w:tr w:rsidR="00BE169A" w:rsidTr="004E58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4" w:type="pct"/>
          </w:tcPr>
          <w:p w:rsidR="001548B7" w:rsidRDefault="00552661" w:rsidP="00427B77">
            <w:pPr>
              <w:spacing w:after="120" w:line="240" w:lineRule="auto"/>
              <w:rPr>
                <w:b w:val="0"/>
                <w:bCs w:val="0"/>
                <w:szCs w:val="20"/>
                <w:lang w:val="en-US"/>
              </w:rPr>
            </w:pPr>
            <w:r>
              <w:rPr>
                <w:szCs w:val="20"/>
                <w:lang w:val="en-US"/>
              </w:rPr>
              <w:t xml:space="preserve">Venue (non-DEA) </w:t>
            </w:r>
            <w:r w:rsidR="004E588E">
              <w:rPr>
                <w:szCs w:val="20"/>
                <w:lang w:val="en-US"/>
              </w:rPr>
              <w:t>or</w:t>
            </w:r>
            <w:r>
              <w:rPr>
                <w:szCs w:val="20"/>
                <w:lang w:val="en-US"/>
              </w:rPr>
              <w:t xml:space="preserve"> </w:t>
            </w:r>
            <w:r w:rsidR="00427B77">
              <w:rPr>
                <w:szCs w:val="20"/>
                <w:lang w:val="en-US"/>
              </w:rPr>
              <w:t>external b</w:t>
            </w:r>
            <w:r>
              <w:rPr>
                <w:szCs w:val="20"/>
                <w:lang w:val="en-US"/>
              </w:rPr>
              <w:t>roker</w:t>
            </w:r>
          </w:p>
        </w:tc>
        <w:tc>
          <w:tcPr>
            <w:tcW w:w="2656" w:type="pct"/>
            <w:hideMark/>
          </w:tcPr>
          <w:p w:rsidR="001548B7" w:rsidRDefault="00552661">
            <w:pPr>
              <w:spacing w:after="120" w:line="240" w:lineRule="auto"/>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Fills from trading venues (non-DEA) or external brokers, not in agency capacity</w:t>
            </w:r>
            <w:r>
              <w:rPr>
                <w:szCs w:val="20"/>
                <w:lang w:val="en-US"/>
              </w:rPr>
              <w:t>, but where broker is returning the same price as achieved in the venue or by the external broker</w:t>
            </w:r>
          </w:p>
          <w:p w:rsidR="001548B7" w:rsidRDefault="00552661">
            <w:pPr>
              <w:spacing w:after="120" w:line="240" w:lineRule="auto"/>
              <w:cnfStyle w:val="000000100000" w:firstRow="0" w:lastRow="0" w:firstColumn="0" w:lastColumn="0" w:oddVBand="0" w:evenVBand="0" w:oddHBand="1" w:evenHBand="0" w:firstRowFirstColumn="0" w:firstRowLastColumn="0" w:lastRowFirstColumn="0" w:lastRowLastColumn="0"/>
              <w:rPr>
                <w:szCs w:val="20"/>
                <w:lang w:val="en-US"/>
              </w:rPr>
            </w:pPr>
            <w:r w:rsidRPr="00552661">
              <w:rPr>
                <w:i/>
                <w:szCs w:val="20"/>
                <w:lang w:val="en-US"/>
              </w:rPr>
              <w:t>(</w:t>
            </w:r>
            <w:r>
              <w:rPr>
                <w:i/>
                <w:szCs w:val="20"/>
                <w:lang w:val="en-US"/>
              </w:rPr>
              <w:t>Requires t</w:t>
            </w:r>
            <w:r w:rsidRPr="00552661">
              <w:rPr>
                <w:i/>
                <w:szCs w:val="20"/>
                <w:lang w:val="en-US"/>
              </w:rPr>
              <w:t xml:space="preserve">ransaction reporting on </w:t>
            </w:r>
            <w:r>
              <w:rPr>
                <w:i/>
                <w:szCs w:val="20"/>
                <w:lang w:val="en-US"/>
              </w:rPr>
              <w:t>every individual fill</w:t>
            </w:r>
            <w:r w:rsidRPr="00552661">
              <w:rPr>
                <w:i/>
                <w:szCs w:val="20"/>
                <w:lang w:val="en-US"/>
              </w:rPr>
              <w:t>)</w:t>
            </w:r>
          </w:p>
        </w:tc>
        <w:tc>
          <w:tcPr>
            <w:tcW w:w="463"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3</w:t>
            </w:r>
          </w:p>
        </w:tc>
        <w:tc>
          <w:tcPr>
            <w:tcW w:w="597"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Pr>
                <w:szCs w:val="20"/>
                <w:lang w:val="en-US"/>
              </w:rPr>
              <w:t>Venue MIC</w:t>
            </w:r>
          </w:p>
        </w:tc>
        <w:tc>
          <w:tcPr>
            <w:tcW w:w="570"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MTCH</w:t>
            </w:r>
            <w:r>
              <w:rPr>
                <w:szCs w:val="20"/>
                <w:lang w:val="en-US"/>
              </w:rPr>
              <w:br/>
            </w:r>
          </w:p>
        </w:tc>
      </w:tr>
      <w:tr w:rsidR="00BE169A" w:rsidTr="004E588E">
        <w:trPr>
          <w:cantSplit/>
        </w:trPr>
        <w:tc>
          <w:tcPr>
            <w:cnfStyle w:val="001000000000" w:firstRow="0" w:lastRow="0" w:firstColumn="1" w:lastColumn="0" w:oddVBand="0" w:evenVBand="0" w:oddHBand="0" w:evenHBand="0" w:firstRowFirstColumn="0" w:firstRowLastColumn="0" w:lastRowFirstColumn="0" w:lastRowLastColumn="0"/>
            <w:tcW w:w="714" w:type="pct"/>
          </w:tcPr>
          <w:p w:rsidR="001548B7" w:rsidRDefault="00552661">
            <w:pPr>
              <w:spacing w:after="120" w:line="240" w:lineRule="auto"/>
              <w:rPr>
                <w:b w:val="0"/>
                <w:bCs w:val="0"/>
                <w:szCs w:val="20"/>
                <w:lang w:val="en-US"/>
              </w:rPr>
            </w:pPr>
            <w:r>
              <w:rPr>
                <w:szCs w:val="20"/>
                <w:lang w:val="en-US"/>
              </w:rPr>
              <w:t>Venue (DEA)</w:t>
            </w:r>
          </w:p>
        </w:tc>
        <w:tc>
          <w:tcPr>
            <w:tcW w:w="2656" w:type="pct"/>
            <w:hideMark/>
          </w:tcPr>
          <w:p w:rsidR="001548B7" w:rsidRDefault="00552661">
            <w:pPr>
              <w:spacing w:after="120" w:line="240" w:lineRule="auto"/>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Fills from trading venues (DEA), in agency capacity</w:t>
            </w:r>
          </w:p>
        </w:tc>
        <w:tc>
          <w:tcPr>
            <w:tcW w:w="463"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1</w:t>
            </w:r>
          </w:p>
        </w:tc>
        <w:tc>
          <w:tcPr>
            <w:tcW w:w="597"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Venue MIC</w:t>
            </w:r>
          </w:p>
        </w:tc>
        <w:tc>
          <w:tcPr>
            <w:tcW w:w="570"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AOTC</w:t>
            </w:r>
          </w:p>
        </w:tc>
      </w:tr>
      <w:tr w:rsidR="00BE169A" w:rsidTr="004E58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4" w:type="pct"/>
          </w:tcPr>
          <w:p w:rsidR="001548B7" w:rsidRDefault="00552661">
            <w:pPr>
              <w:spacing w:after="120" w:line="240" w:lineRule="auto"/>
              <w:rPr>
                <w:b w:val="0"/>
                <w:bCs w:val="0"/>
                <w:szCs w:val="20"/>
                <w:lang w:val="en-US"/>
              </w:rPr>
            </w:pPr>
            <w:r>
              <w:rPr>
                <w:szCs w:val="20"/>
                <w:lang w:val="en-US"/>
              </w:rPr>
              <w:t>Venue (DEA)</w:t>
            </w:r>
          </w:p>
        </w:tc>
        <w:tc>
          <w:tcPr>
            <w:tcW w:w="2656" w:type="pct"/>
            <w:hideMark/>
          </w:tcPr>
          <w:p w:rsidR="001548B7" w:rsidRDefault="00552661">
            <w:pPr>
              <w:spacing w:after="120" w:line="240" w:lineRule="auto"/>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Fills from trading venues (DEA), not in agency capacity</w:t>
            </w:r>
          </w:p>
        </w:tc>
        <w:tc>
          <w:tcPr>
            <w:tcW w:w="463"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3</w:t>
            </w:r>
          </w:p>
        </w:tc>
        <w:tc>
          <w:tcPr>
            <w:tcW w:w="597"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Venue MIC</w:t>
            </w:r>
          </w:p>
        </w:tc>
        <w:tc>
          <w:tcPr>
            <w:tcW w:w="570"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MTCH</w:t>
            </w:r>
          </w:p>
        </w:tc>
      </w:tr>
      <w:tr w:rsidR="00427B77" w:rsidTr="004E588E">
        <w:trPr>
          <w:cantSplit/>
        </w:trPr>
        <w:tc>
          <w:tcPr>
            <w:cnfStyle w:val="001000000000" w:firstRow="0" w:lastRow="0" w:firstColumn="1" w:lastColumn="0" w:oddVBand="0" w:evenVBand="0" w:oddHBand="0" w:evenHBand="0" w:firstRowFirstColumn="0" w:firstRowLastColumn="0" w:lastRowFirstColumn="0" w:lastRowLastColumn="0"/>
            <w:tcW w:w="714" w:type="pct"/>
          </w:tcPr>
          <w:p w:rsidR="00427B77" w:rsidRDefault="00427B77">
            <w:pPr>
              <w:spacing w:after="120" w:line="240" w:lineRule="auto"/>
              <w:rPr>
                <w:szCs w:val="20"/>
                <w:lang w:val="en-US"/>
              </w:rPr>
            </w:pPr>
            <w:r>
              <w:rPr>
                <w:szCs w:val="20"/>
                <w:lang w:val="en-US"/>
              </w:rPr>
              <w:t>Broker (as SI)</w:t>
            </w:r>
          </w:p>
        </w:tc>
        <w:tc>
          <w:tcPr>
            <w:tcW w:w="2656" w:type="pct"/>
            <w:hideMark/>
          </w:tcPr>
          <w:p w:rsidR="00427B77" w:rsidRPr="00804334" w:rsidRDefault="00427B77">
            <w:pPr>
              <w:spacing w:after="120" w:line="240" w:lineRule="auto"/>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SI risk fill (i.e. an investment firm filling on risk in its capacity as a systematic internaliser)</w:t>
            </w:r>
          </w:p>
        </w:tc>
        <w:tc>
          <w:tcPr>
            <w:tcW w:w="463" w:type="pct"/>
            <w:hideMark/>
          </w:tcPr>
          <w:p w:rsidR="00427B77" w:rsidRPr="00804334" w:rsidRDefault="00427B77">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4</w:t>
            </w:r>
          </w:p>
        </w:tc>
        <w:tc>
          <w:tcPr>
            <w:tcW w:w="597" w:type="pct"/>
            <w:hideMark/>
          </w:tcPr>
          <w:p w:rsidR="00427B77" w:rsidRPr="00804334" w:rsidRDefault="00427B77">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SI’s MIC</w:t>
            </w:r>
          </w:p>
        </w:tc>
        <w:tc>
          <w:tcPr>
            <w:tcW w:w="570" w:type="pct"/>
            <w:hideMark/>
          </w:tcPr>
          <w:p w:rsidR="00427B77" w:rsidRPr="00804334" w:rsidRDefault="00427B77">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Pr>
                <w:szCs w:val="20"/>
                <w:lang w:val="en-US"/>
              </w:rPr>
              <w:t>DEAL</w:t>
            </w:r>
          </w:p>
        </w:tc>
      </w:tr>
      <w:tr w:rsidR="00427B77" w:rsidTr="004E58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4" w:type="pct"/>
          </w:tcPr>
          <w:p w:rsidR="00427B77" w:rsidRDefault="00427B77">
            <w:pPr>
              <w:spacing w:after="120" w:line="240" w:lineRule="auto"/>
              <w:rPr>
                <w:szCs w:val="20"/>
                <w:lang w:val="en-US"/>
              </w:rPr>
            </w:pPr>
            <w:r>
              <w:rPr>
                <w:szCs w:val="20"/>
                <w:lang w:val="en-US"/>
              </w:rPr>
              <w:t>Broker (as SI)</w:t>
            </w:r>
          </w:p>
        </w:tc>
        <w:tc>
          <w:tcPr>
            <w:tcW w:w="2656" w:type="pct"/>
            <w:hideMark/>
          </w:tcPr>
          <w:p w:rsidR="00427B77" w:rsidRPr="00804334" w:rsidRDefault="00427B77">
            <w:pPr>
              <w:spacing w:after="120" w:line="240" w:lineRule="auto"/>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SI client cross (i.e. an investment firm filling against another client order in its capacity as a systematic internaliser)</w:t>
            </w:r>
          </w:p>
        </w:tc>
        <w:tc>
          <w:tcPr>
            <w:tcW w:w="463" w:type="pct"/>
            <w:hideMark/>
          </w:tcPr>
          <w:p w:rsidR="00427B77" w:rsidRDefault="00427B77">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Pr>
                <w:szCs w:val="20"/>
                <w:lang w:val="en-US"/>
              </w:rPr>
              <w:t>5</w:t>
            </w:r>
          </w:p>
          <w:p w:rsidR="00D055A8" w:rsidRDefault="00D055A8">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Pr>
                <w:szCs w:val="20"/>
                <w:lang w:val="en-US"/>
              </w:rPr>
              <w:t>Or</w:t>
            </w:r>
          </w:p>
          <w:p w:rsidR="00D055A8" w:rsidRPr="00804334" w:rsidRDefault="00D055A8">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Pr>
                <w:szCs w:val="20"/>
                <w:lang w:val="en-US"/>
              </w:rPr>
              <w:t>3</w:t>
            </w:r>
          </w:p>
        </w:tc>
        <w:tc>
          <w:tcPr>
            <w:tcW w:w="597" w:type="pct"/>
            <w:hideMark/>
          </w:tcPr>
          <w:p w:rsidR="00427B77" w:rsidRPr="00804334" w:rsidRDefault="00427B77">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Pr>
                <w:szCs w:val="20"/>
                <w:lang w:val="en-US"/>
              </w:rPr>
              <w:t>SI’s MIC</w:t>
            </w:r>
          </w:p>
        </w:tc>
        <w:tc>
          <w:tcPr>
            <w:tcW w:w="570" w:type="pct"/>
            <w:hideMark/>
          </w:tcPr>
          <w:p w:rsidR="00427B77" w:rsidRDefault="00427B77">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Pr>
                <w:szCs w:val="20"/>
                <w:lang w:val="en-US"/>
              </w:rPr>
              <w:t>DEAL</w:t>
            </w:r>
          </w:p>
          <w:p w:rsidR="00D055A8" w:rsidRDefault="00D055A8">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Pr>
                <w:szCs w:val="20"/>
                <w:lang w:val="en-US"/>
              </w:rPr>
              <w:t>Or</w:t>
            </w:r>
          </w:p>
          <w:p w:rsidR="00D055A8" w:rsidRPr="00804334" w:rsidRDefault="00D055A8">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Pr>
                <w:szCs w:val="20"/>
                <w:lang w:val="en-US"/>
              </w:rPr>
              <w:t>MTCH</w:t>
            </w:r>
          </w:p>
        </w:tc>
      </w:tr>
      <w:tr w:rsidR="00BE169A" w:rsidTr="004E588E">
        <w:trPr>
          <w:cantSplit/>
        </w:trPr>
        <w:tc>
          <w:tcPr>
            <w:cnfStyle w:val="001000000000" w:firstRow="0" w:lastRow="0" w:firstColumn="1" w:lastColumn="0" w:oddVBand="0" w:evenVBand="0" w:oddHBand="0" w:evenHBand="0" w:firstRowFirstColumn="0" w:firstRowLastColumn="0" w:lastRowFirstColumn="0" w:lastRowLastColumn="0"/>
            <w:tcW w:w="714" w:type="pct"/>
          </w:tcPr>
          <w:p w:rsidR="001548B7" w:rsidRDefault="00427B77">
            <w:pPr>
              <w:spacing w:after="120" w:line="240" w:lineRule="auto"/>
              <w:rPr>
                <w:b w:val="0"/>
                <w:bCs w:val="0"/>
                <w:szCs w:val="20"/>
                <w:lang w:val="en-US"/>
              </w:rPr>
            </w:pPr>
            <w:r>
              <w:rPr>
                <w:szCs w:val="20"/>
                <w:lang w:val="en-US"/>
              </w:rPr>
              <w:t>Broker (</w:t>
            </w:r>
            <w:r w:rsidR="00552661">
              <w:rPr>
                <w:szCs w:val="20"/>
                <w:lang w:val="en-US"/>
              </w:rPr>
              <w:t>OTC</w:t>
            </w:r>
            <w:r>
              <w:rPr>
                <w:szCs w:val="20"/>
                <w:lang w:val="en-US"/>
              </w:rPr>
              <w:t>)</w:t>
            </w:r>
          </w:p>
        </w:tc>
        <w:tc>
          <w:tcPr>
            <w:tcW w:w="2656" w:type="pct"/>
            <w:hideMark/>
          </w:tcPr>
          <w:p w:rsidR="001548B7" w:rsidRDefault="00552661">
            <w:pPr>
              <w:spacing w:after="120" w:line="240" w:lineRule="auto"/>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OTC risk fill (i.e. an investment firm filling on risk but not in systematic internaliser capacity)</w:t>
            </w:r>
          </w:p>
        </w:tc>
        <w:tc>
          <w:tcPr>
            <w:tcW w:w="463"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4</w:t>
            </w:r>
          </w:p>
        </w:tc>
        <w:tc>
          <w:tcPr>
            <w:tcW w:w="597"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Broker’s “OTC” MIC</w:t>
            </w:r>
          </w:p>
        </w:tc>
        <w:tc>
          <w:tcPr>
            <w:tcW w:w="570" w:type="pct"/>
            <w:hideMark/>
          </w:tcPr>
          <w:p w:rsidR="001548B7" w:rsidRDefault="00552661">
            <w:pPr>
              <w:spacing w:after="120" w:line="240" w:lineRule="auto"/>
              <w:jc w:val="center"/>
              <w:cnfStyle w:val="000000000000" w:firstRow="0" w:lastRow="0" w:firstColumn="0" w:lastColumn="0" w:oddVBand="0" w:evenVBand="0" w:oddHBand="0" w:evenHBand="0" w:firstRowFirstColumn="0" w:firstRowLastColumn="0" w:lastRowFirstColumn="0" w:lastRowLastColumn="0"/>
              <w:rPr>
                <w:szCs w:val="20"/>
                <w:lang w:val="en-US"/>
              </w:rPr>
            </w:pPr>
            <w:r w:rsidRPr="00804334">
              <w:rPr>
                <w:szCs w:val="20"/>
                <w:lang w:val="en-US"/>
              </w:rPr>
              <w:t>DEAL</w:t>
            </w:r>
          </w:p>
        </w:tc>
      </w:tr>
      <w:tr w:rsidR="00BE169A" w:rsidTr="004E58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4" w:type="pct"/>
          </w:tcPr>
          <w:p w:rsidR="001548B7" w:rsidRDefault="00427B77">
            <w:pPr>
              <w:spacing w:after="120" w:line="240" w:lineRule="auto"/>
              <w:rPr>
                <w:b w:val="0"/>
                <w:bCs w:val="0"/>
                <w:szCs w:val="20"/>
                <w:lang w:val="en-US"/>
              </w:rPr>
            </w:pPr>
            <w:r>
              <w:rPr>
                <w:szCs w:val="20"/>
                <w:lang w:val="en-US"/>
              </w:rPr>
              <w:t>Broker (</w:t>
            </w:r>
            <w:r w:rsidR="00552661">
              <w:rPr>
                <w:szCs w:val="20"/>
                <w:lang w:val="en-US"/>
              </w:rPr>
              <w:t>OTC</w:t>
            </w:r>
            <w:r>
              <w:rPr>
                <w:szCs w:val="20"/>
                <w:lang w:val="en-US"/>
              </w:rPr>
              <w:t>)</w:t>
            </w:r>
          </w:p>
        </w:tc>
        <w:tc>
          <w:tcPr>
            <w:tcW w:w="2656" w:type="pct"/>
            <w:hideMark/>
          </w:tcPr>
          <w:p w:rsidR="001548B7" w:rsidRDefault="00552661">
            <w:pPr>
              <w:spacing w:after="120" w:line="240" w:lineRule="auto"/>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OTC client cross (i.e. an investment firm filling against another client order but not in systematic internaliser capacity)</w:t>
            </w:r>
          </w:p>
        </w:tc>
        <w:tc>
          <w:tcPr>
            <w:tcW w:w="463"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2</w:t>
            </w:r>
          </w:p>
        </w:tc>
        <w:tc>
          <w:tcPr>
            <w:tcW w:w="597"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Broker’s “OTC” MIC</w:t>
            </w:r>
          </w:p>
        </w:tc>
        <w:tc>
          <w:tcPr>
            <w:tcW w:w="570" w:type="pct"/>
            <w:hideMark/>
          </w:tcPr>
          <w:p w:rsidR="001548B7" w:rsidRDefault="00552661">
            <w:pPr>
              <w:spacing w:after="120" w:line="240" w:lineRule="auto"/>
              <w:jc w:val="center"/>
              <w:cnfStyle w:val="000000100000" w:firstRow="0" w:lastRow="0" w:firstColumn="0" w:lastColumn="0" w:oddVBand="0" w:evenVBand="0" w:oddHBand="1" w:evenHBand="0" w:firstRowFirstColumn="0" w:firstRowLastColumn="0" w:lastRowFirstColumn="0" w:lastRowLastColumn="0"/>
              <w:rPr>
                <w:szCs w:val="20"/>
                <w:lang w:val="en-US"/>
              </w:rPr>
            </w:pPr>
            <w:r w:rsidRPr="00804334">
              <w:rPr>
                <w:szCs w:val="20"/>
                <w:lang w:val="en-US"/>
              </w:rPr>
              <w:t>AOTC</w:t>
            </w:r>
          </w:p>
        </w:tc>
      </w:tr>
    </w:tbl>
    <w:p w:rsidR="001E4060" w:rsidRDefault="001E4060">
      <w:pPr>
        <w:spacing w:after="0" w:line="240" w:lineRule="auto"/>
        <w:rPr>
          <w:rFonts w:eastAsia="Times New Roman"/>
          <w:b/>
          <w:bCs/>
          <w:color w:val="4F81BD"/>
          <w:sz w:val="26"/>
          <w:szCs w:val="26"/>
          <w:lang w:eastAsia="en-GB"/>
        </w:rPr>
      </w:pPr>
      <w:r>
        <w:rPr>
          <w:rFonts w:eastAsia="Times New Roman"/>
        </w:rPr>
        <w:br w:type="page"/>
      </w:r>
    </w:p>
    <w:p w:rsidR="007A0D73" w:rsidRDefault="002E6F1A" w:rsidP="007A0D73">
      <w:pPr>
        <w:pStyle w:val="Heading2"/>
        <w:rPr>
          <w:rFonts w:ascii="Arial" w:eastAsia="Times New Roman" w:hAnsi="Arial" w:cs="Arial"/>
        </w:rPr>
      </w:pPr>
      <w:r>
        <w:rPr>
          <w:rFonts w:ascii="Arial" w:eastAsia="Times New Roman" w:hAnsi="Arial" w:cs="Arial"/>
        </w:rPr>
        <w:lastRenderedPageBreak/>
        <w:t xml:space="preserve">Appendix - </w:t>
      </w:r>
      <w:r w:rsidR="007A0D73">
        <w:rPr>
          <w:rFonts w:ascii="Arial" w:eastAsia="Times New Roman" w:hAnsi="Arial" w:cs="Arial"/>
        </w:rPr>
        <w:t xml:space="preserve">Current </w:t>
      </w:r>
      <w:r>
        <w:rPr>
          <w:rFonts w:ascii="Arial" w:eastAsia="Times New Roman" w:hAnsi="Arial" w:cs="Arial"/>
        </w:rPr>
        <w:t>G</w:t>
      </w:r>
      <w:r w:rsidR="007A0D73">
        <w:rPr>
          <w:rFonts w:ascii="Arial" w:eastAsia="Times New Roman" w:hAnsi="Arial" w:cs="Arial"/>
        </w:rPr>
        <w:t xml:space="preserve">uidance for </w:t>
      </w:r>
      <w:r>
        <w:rPr>
          <w:rFonts w:ascii="Arial" w:eastAsia="Times New Roman" w:hAnsi="Arial" w:cs="Arial"/>
        </w:rPr>
        <w:t>U</w:t>
      </w:r>
      <w:r w:rsidR="007A0D73">
        <w:rPr>
          <w:rFonts w:ascii="Arial" w:eastAsia="Times New Roman" w:hAnsi="Arial" w:cs="Arial"/>
        </w:rPr>
        <w:t>s</w:t>
      </w:r>
      <w:r>
        <w:rPr>
          <w:rFonts w:ascii="Arial" w:eastAsia="Times New Roman" w:hAnsi="Arial" w:cs="Arial"/>
        </w:rPr>
        <w:t>ag</w:t>
      </w:r>
      <w:r w:rsidR="007A0D73">
        <w:rPr>
          <w:rFonts w:ascii="Arial" w:eastAsia="Times New Roman" w:hAnsi="Arial" w:cs="Arial"/>
        </w:rPr>
        <w:t xml:space="preserve">e of </w:t>
      </w:r>
      <w:r>
        <w:rPr>
          <w:rFonts w:ascii="Arial" w:eastAsia="Times New Roman" w:hAnsi="Arial" w:cs="Arial"/>
        </w:rPr>
        <w:t>T</w:t>
      </w:r>
      <w:r w:rsidR="007A0D73">
        <w:rPr>
          <w:rFonts w:ascii="Arial" w:eastAsia="Times New Roman" w:hAnsi="Arial" w:cs="Arial"/>
        </w:rPr>
        <w:t>ag 29 LastCapacity</w:t>
      </w:r>
    </w:p>
    <w:p w:rsidR="007A0D73" w:rsidRDefault="007A0D73" w:rsidP="007A0D73">
      <w:r>
        <w:t>The FIX best practice guidelines</w:t>
      </w:r>
      <w:r w:rsidR="001E4060">
        <w:t xml:space="preserve"> ( August 2015)</w:t>
      </w:r>
      <w:r>
        <w:t xml:space="preserve"> for usage of tag 29 are, in full:</w:t>
      </w:r>
    </w:p>
    <w:tbl>
      <w:tblPr>
        <w:tblW w:w="0" w:type="auto"/>
        <w:tblCellMar>
          <w:left w:w="0" w:type="dxa"/>
          <w:right w:w="0" w:type="dxa"/>
        </w:tblCellMar>
        <w:tblLook w:val="04A0" w:firstRow="1" w:lastRow="0" w:firstColumn="1" w:lastColumn="0" w:noHBand="0" w:noVBand="1"/>
      </w:tblPr>
      <w:tblGrid>
        <w:gridCol w:w="2376"/>
        <w:gridCol w:w="3544"/>
        <w:gridCol w:w="3656"/>
      </w:tblGrid>
      <w:tr w:rsidR="007A0D73" w:rsidTr="007A0D73">
        <w:trPr>
          <w:cantSplit/>
          <w:tblHeader/>
        </w:trPr>
        <w:tc>
          <w:tcPr>
            <w:tcW w:w="2376"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rsidR="007A0D73" w:rsidRDefault="007A0D73" w:rsidP="004E588E">
            <w:pPr>
              <w:spacing w:after="0"/>
              <w:rPr>
                <w:b/>
                <w:bCs/>
                <w:color w:val="FFFFFF"/>
                <w:sz w:val="21"/>
                <w:szCs w:val="21"/>
                <w:lang w:val="en-US"/>
              </w:rPr>
            </w:pPr>
            <w:r w:rsidRPr="00804334">
              <w:rPr>
                <w:b/>
                <w:bCs/>
                <w:color w:val="FFFFFF"/>
                <w:sz w:val="21"/>
                <w:szCs w:val="21"/>
                <w:lang w:val="en-US"/>
              </w:rPr>
              <w:t>Value</w:t>
            </w:r>
          </w:p>
        </w:tc>
        <w:tc>
          <w:tcPr>
            <w:tcW w:w="3544" w:type="dxa"/>
            <w:tcBorders>
              <w:top w:val="single" w:sz="8" w:space="0" w:color="4F81BD"/>
              <w:left w:val="nil"/>
              <w:bottom w:val="nil"/>
              <w:right w:val="nil"/>
            </w:tcBorders>
            <w:shd w:val="clear" w:color="auto" w:fill="4F81BD"/>
            <w:tcMar>
              <w:top w:w="0" w:type="dxa"/>
              <w:left w:w="108" w:type="dxa"/>
              <w:bottom w:w="0" w:type="dxa"/>
              <w:right w:w="108" w:type="dxa"/>
            </w:tcMar>
            <w:hideMark/>
          </w:tcPr>
          <w:p w:rsidR="007A0D73" w:rsidRDefault="007A0D73" w:rsidP="004E588E">
            <w:pPr>
              <w:spacing w:after="0"/>
              <w:rPr>
                <w:b/>
                <w:bCs/>
                <w:color w:val="FFFFFF"/>
                <w:sz w:val="21"/>
                <w:szCs w:val="21"/>
                <w:lang w:val="en-US"/>
              </w:rPr>
            </w:pPr>
            <w:r w:rsidRPr="00804334">
              <w:rPr>
                <w:b/>
                <w:bCs/>
                <w:color w:val="FFFFFF"/>
                <w:sz w:val="21"/>
                <w:szCs w:val="21"/>
                <w:lang w:val="en-US"/>
              </w:rPr>
              <w:t>Usage in Americas</w:t>
            </w:r>
          </w:p>
        </w:tc>
        <w:tc>
          <w:tcPr>
            <w:tcW w:w="3656"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hideMark/>
          </w:tcPr>
          <w:p w:rsidR="007A0D73" w:rsidRDefault="007A0D73" w:rsidP="004E588E">
            <w:pPr>
              <w:spacing w:after="0"/>
              <w:rPr>
                <w:b/>
                <w:bCs/>
                <w:color w:val="FFFFFF"/>
                <w:sz w:val="21"/>
                <w:szCs w:val="21"/>
                <w:lang w:val="en-US"/>
              </w:rPr>
            </w:pPr>
            <w:r w:rsidRPr="00804334">
              <w:rPr>
                <w:b/>
                <w:bCs/>
                <w:color w:val="FFFFFF"/>
                <w:sz w:val="21"/>
                <w:szCs w:val="21"/>
                <w:lang w:val="en-US"/>
              </w:rPr>
              <w:t>Usage in EMEA</w:t>
            </w:r>
          </w:p>
        </w:tc>
      </w:tr>
      <w:tr w:rsidR="007A0D73" w:rsidTr="007A0D73">
        <w:trPr>
          <w:cantSplit/>
        </w:trPr>
        <w:tc>
          <w:tcPr>
            <w:tcW w:w="2376" w:type="dxa"/>
            <w:tcBorders>
              <w:top w:val="single" w:sz="8" w:space="0" w:color="4F81BD"/>
              <w:left w:val="single" w:sz="8" w:space="0" w:color="4F81BD"/>
              <w:bottom w:val="single" w:sz="8" w:space="0" w:color="4F81BD"/>
              <w:right w:val="nil"/>
            </w:tcBorders>
            <w:shd w:val="clear" w:color="auto" w:fill="DBE5F1"/>
            <w:tcMar>
              <w:top w:w="0" w:type="dxa"/>
              <w:left w:w="108" w:type="dxa"/>
              <w:bottom w:w="0" w:type="dxa"/>
              <w:right w:w="108" w:type="dxa"/>
            </w:tcMar>
            <w:hideMark/>
          </w:tcPr>
          <w:p w:rsidR="007A0D73" w:rsidRDefault="007A0D73" w:rsidP="004E588E">
            <w:pPr>
              <w:spacing w:after="0"/>
              <w:rPr>
                <w:b/>
                <w:bCs/>
                <w:sz w:val="21"/>
                <w:szCs w:val="21"/>
                <w:lang w:val="en-US"/>
              </w:rPr>
            </w:pPr>
            <w:r w:rsidRPr="00804334">
              <w:rPr>
                <w:b/>
                <w:bCs/>
                <w:sz w:val="21"/>
                <w:szCs w:val="21"/>
                <w:lang w:val="en-US"/>
              </w:rPr>
              <w:t>1 (agent)</w:t>
            </w:r>
          </w:p>
        </w:tc>
        <w:tc>
          <w:tcPr>
            <w:tcW w:w="7200" w:type="dxa"/>
            <w:gridSpan w:val="2"/>
            <w:tcBorders>
              <w:top w:val="single" w:sz="8" w:space="0" w:color="4F81BD"/>
              <w:left w:val="nil"/>
              <w:bottom w:val="single" w:sz="8" w:space="0" w:color="4F81BD"/>
              <w:right w:val="single" w:sz="8" w:space="0" w:color="4F81BD"/>
            </w:tcBorders>
            <w:tcMar>
              <w:top w:w="0" w:type="dxa"/>
              <w:left w:w="108" w:type="dxa"/>
              <w:bottom w:w="0" w:type="dxa"/>
              <w:right w:w="108" w:type="dxa"/>
            </w:tcMar>
            <w:hideMark/>
          </w:tcPr>
          <w:p w:rsidR="007A0D73" w:rsidRPr="00804334" w:rsidRDefault="007A0D73" w:rsidP="004E588E">
            <w:pPr>
              <w:pStyle w:val="ListParagraph"/>
              <w:numPr>
                <w:ilvl w:val="0"/>
                <w:numId w:val="2"/>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An execution on an exchange or alternative execution venue external to the executing broker-dealer, where the broker-dealer is acting as agent on behalf of the client.</w:t>
            </w:r>
          </w:p>
        </w:tc>
      </w:tr>
      <w:tr w:rsidR="007A0D73" w:rsidTr="007A0D73">
        <w:trPr>
          <w:cantSplit/>
        </w:trPr>
        <w:tc>
          <w:tcPr>
            <w:tcW w:w="2376" w:type="dxa"/>
            <w:tcBorders>
              <w:top w:val="nil"/>
              <w:left w:val="single" w:sz="8" w:space="0" w:color="4F81BD"/>
              <w:bottom w:val="nil"/>
              <w:right w:val="nil"/>
            </w:tcBorders>
            <w:shd w:val="clear" w:color="auto" w:fill="DBE5F1"/>
            <w:tcMar>
              <w:top w:w="0" w:type="dxa"/>
              <w:left w:w="108" w:type="dxa"/>
              <w:bottom w:w="0" w:type="dxa"/>
              <w:right w:w="108" w:type="dxa"/>
            </w:tcMar>
            <w:hideMark/>
          </w:tcPr>
          <w:p w:rsidR="007A0D73" w:rsidRDefault="007A0D73" w:rsidP="004E588E">
            <w:pPr>
              <w:spacing w:after="0"/>
              <w:rPr>
                <w:b/>
                <w:bCs/>
                <w:sz w:val="21"/>
                <w:szCs w:val="21"/>
                <w:lang w:val="en-US"/>
              </w:rPr>
            </w:pPr>
            <w:r w:rsidRPr="00804334">
              <w:rPr>
                <w:b/>
                <w:bCs/>
                <w:sz w:val="21"/>
                <w:szCs w:val="21"/>
                <w:lang w:val="en-US"/>
              </w:rPr>
              <w:t>2 (cross as agent)</w:t>
            </w:r>
          </w:p>
        </w:tc>
        <w:tc>
          <w:tcPr>
            <w:tcW w:w="3544" w:type="dxa"/>
            <w:tcMar>
              <w:top w:w="0" w:type="dxa"/>
              <w:left w:w="108" w:type="dxa"/>
              <w:bottom w:w="0" w:type="dxa"/>
              <w:right w:w="108" w:type="dxa"/>
            </w:tcMar>
            <w:hideMark/>
          </w:tcPr>
          <w:p w:rsidR="007A0D73" w:rsidRPr="00804334" w:rsidRDefault="007A0D73" w:rsidP="004E588E">
            <w:pPr>
              <w:pStyle w:val="ListParagraph"/>
              <w:numPr>
                <w:ilvl w:val="0"/>
                <w:numId w:val="3"/>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An execution between two clients of the executing broker-dealer, where the broker-dealer is acting as agent on behalf of both clients, including when the execution takes place within the broker-dealer's electronic matching engine in an agency capacity (i.e. client order vs. another client order).</w:t>
            </w:r>
          </w:p>
        </w:tc>
        <w:tc>
          <w:tcPr>
            <w:tcW w:w="3656" w:type="dxa"/>
            <w:tcBorders>
              <w:top w:val="nil"/>
              <w:left w:val="nil"/>
              <w:bottom w:val="nil"/>
              <w:right w:val="single" w:sz="8" w:space="0" w:color="4F81BD"/>
            </w:tcBorders>
            <w:tcMar>
              <w:top w:w="0" w:type="dxa"/>
              <w:left w:w="108" w:type="dxa"/>
              <w:bottom w:w="0" w:type="dxa"/>
              <w:right w:w="108" w:type="dxa"/>
            </w:tcMar>
            <w:hideMark/>
          </w:tcPr>
          <w:p w:rsidR="007A0D73" w:rsidRPr="00804334" w:rsidRDefault="007A0D73" w:rsidP="004E588E">
            <w:pPr>
              <w:pStyle w:val="ListParagraph"/>
              <w:numPr>
                <w:ilvl w:val="0"/>
                <w:numId w:val="3"/>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An execution between two clients of the executing broker-dealer taking place within the broker dealer. This also applies where the other order is a house order generated specifically to hedge a swap.</w:t>
            </w:r>
          </w:p>
        </w:tc>
      </w:tr>
      <w:tr w:rsidR="007A0D73" w:rsidTr="007A0D73">
        <w:trPr>
          <w:cantSplit/>
        </w:trPr>
        <w:tc>
          <w:tcPr>
            <w:tcW w:w="2376" w:type="dxa"/>
            <w:tcBorders>
              <w:top w:val="single" w:sz="8" w:space="0" w:color="4F81BD"/>
              <w:left w:val="single" w:sz="8" w:space="0" w:color="4F81BD"/>
              <w:bottom w:val="single" w:sz="8" w:space="0" w:color="4F81BD"/>
              <w:right w:val="nil"/>
            </w:tcBorders>
            <w:shd w:val="clear" w:color="auto" w:fill="DBE5F1"/>
            <w:tcMar>
              <w:top w:w="0" w:type="dxa"/>
              <w:left w:w="108" w:type="dxa"/>
              <w:bottom w:w="0" w:type="dxa"/>
              <w:right w:w="108" w:type="dxa"/>
            </w:tcMar>
            <w:hideMark/>
          </w:tcPr>
          <w:p w:rsidR="007A0D73" w:rsidRDefault="007A0D73" w:rsidP="004E588E">
            <w:pPr>
              <w:spacing w:after="0"/>
              <w:rPr>
                <w:b/>
                <w:bCs/>
                <w:sz w:val="21"/>
                <w:szCs w:val="21"/>
                <w:lang w:val="en-US"/>
              </w:rPr>
            </w:pPr>
            <w:r w:rsidRPr="00804334">
              <w:rPr>
                <w:b/>
                <w:bCs/>
                <w:sz w:val="21"/>
                <w:szCs w:val="21"/>
                <w:lang w:val="en-US"/>
              </w:rPr>
              <w:t>3 (cross as principal)</w:t>
            </w:r>
          </w:p>
        </w:tc>
        <w:tc>
          <w:tcPr>
            <w:tcW w:w="3544" w:type="dxa"/>
            <w:tcBorders>
              <w:top w:val="single" w:sz="8" w:space="0" w:color="4F81BD"/>
              <w:left w:val="nil"/>
              <w:bottom w:val="single" w:sz="8" w:space="0" w:color="4F81BD"/>
              <w:right w:val="nil"/>
            </w:tcBorders>
            <w:tcMar>
              <w:top w:w="0" w:type="dxa"/>
              <w:left w:w="108" w:type="dxa"/>
              <w:bottom w:w="0" w:type="dxa"/>
              <w:right w:w="108" w:type="dxa"/>
            </w:tcMar>
          </w:tcPr>
          <w:p w:rsidR="007A0D73" w:rsidRDefault="007A0D73" w:rsidP="004E588E">
            <w:pPr>
              <w:pStyle w:val="ListParagraph"/>
              <w:numPr>
                <w:ilvl w:val="0"/>
                <w:numId w:val="4"/>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An execution between two clients of the executing broker-dealer, where the broker is acting as a principal solely for the purpose of effecting the execution between the clients, including when the broker is acting as principal to collect consideration for the transaction by printing one or both clients at net prices.</w:t>
            </w:r>
          </w:p>
          <w:p w:rsidR="007A0D73" w:rsidRPr="00804334" w:rsidRDefault="007A0D73" w:rsidP="004E588E">
            <w:pPr>
              <w:pStyle w:val="ListParagraph"/>
              <w:numPr>
                <w:ilvl w:val="0"/>
                <w:numId w:val="4"/>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An execution performed on a public market in riskless principal capacity.</w:t>
            </w:r>
          </w:p>
          <w:p w:rsidR="007A0D73" w:rsidRPr="00804334" w:rsidRDefault="007A0D73" w:rsidP="004E588E">
            <w:pPr>
              <w:pStyle w:val="ListParagraph"/>
              <w:numPr>
                <w:ilvl w:val="0"/>
                <w:numId w:val="4"/>
              </w:numPr>
              <w:spacing w:after="0" w:line="240" w:lineRule="auto"/>
              <w:ind w:left="318" w:hanging="283"/>
              <w:rPr>
                <w:rFonts w:ascii="Arial" w:hAnsi="Arial" w:cs="Arial"/>
                <w:sz w:val="21"/>
                <w:szCs w:val="21"/>
                <w:lang w:val="en-US"/>
              </w:rPr>
            </w:pPr>
            <w:r w:rsidRPr="00804334">
              <w:rPr>
                <w:rFonts w:ascii="Arial" w:hAnsi="Arial" w:cs="Arial"/>
                <w:sz w:val="21"/>
                <w:szCs w:val="21"/>
                <w:lang w:val="en-US"/>
              </w:rPr>
              <w:t>An execution taking place within the broker-dealer's electronic matching engine in a principal capacity (e.g. client order vs. a house order).</w:t>
            </w:r>
          </w:p>
        </w:tc>
        <w:tc>
          <w:tcPr>
            <w:tcW w:w="3656"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rsidR="007A0D73" w:rsidRDefault="007A0D73" w:rsidP="004E588E">
            <w:pPr>
              <w:pStyle w:val="ListParagraph"/>
              <w:numPr>
                <w:ilvl w:val="0"/>
                <w:numId w:val="5"/>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An execution performed on a public market in riskless principal capacity.</w:t>
            </w:r>
          </w:p>
          <w:p w:rsidR="007A0D73" w:rsidRPr="00804334" w:rsidRDefault="007A0D73" w:rsidP="004E588E">
            <w:pPr>
              <w:pStyle w:val="ListParagraph"/>
              <w:numPr>
                <w:ilvl w:val="0"/>
                <w:numId w:val="5"/>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An execution between a client order and a house risk order taking place within the broker-dealer.</w:t>
            </w:r>
          </w:p>
          <w:p w:rsidR="007A0D73" w:rsidRDefault="007A0D73" w:rsidP="004E588E">
            <w:pPr>
              <w:spacing w:after="0"/>
              <w:rPr>
                <w:sz w:val="21"/>
                <w:szCs w:val="21"/>
                <w:lang w:val="en-US"/>
              </w:rPr>
            </w:pPr>
          </w:p>
        </w:tc>
      </w:tr>
      <w:tr w:rsidR="007A0D73" w:rsidTr="007A0D73">
        <w:trPr>
          <w:cantSplit/>
        </w:trPr>
        <w:tc>
          <w:tcPr>
            <w:tcW w:w="2376" w:type="dxa"/>
            <w:tcBorders>
              <w:top w:val="nil"/>
              <w:left w:val="single" w:sz="8" w:space="0" w:color="4F81BD"/>
              <w:bottom w:val="single" w:sz="8" w:space="0" w:color="4F81BD"/>
              <w:right w:val="nil"/>
            </w:tcBorders>
            <w:shd w:val="clear" w:color="auto" w:fill="DBE5F1"/>
            <w:tcMar>
              <w:top w:w="0" w:type="dxa"/>
              <w:left w:w="108" w:type="dxa"/>
              <w:bottom w:w="0" w:type="dxa"/>
              <w:right w:w="108" w:type="dxa"/>
            </w:tcMar>
            <w:hideMark/>
          </w:tcPr>
          <w:p w:rsidR="007A0D73" w:rsidRDefault="007A0D73" w:rsidP="004E588E">
            <w:pPr>
              <w:spacing w:after="0"/>
              <w:rPr>
                <w:b/>
                <w:bCs/>
                <w:sz w:val="21"/>
                <w:szCs w:val="21"/>
                <w:lang w:val="en-US"/>
              </w:rPr>
            </w:pPr>
            <w:r w:rsidRPr="00804334">
              <w:rPr>
                <w:b/>
                <w:bCs/>
                <w:sz w:val="21"/>
                <w:szCs w:val="21"/>
                <w:lang w:val="en-US"/>
              </w:rPr>
              <w:t>4 (principal)</w:t>
            </w:r>
          </w:p>
        </w:tc>
        <w:tc>
          <w:tcPr>
            <w:tcW w:w="3544" w:type="dxa"/>
            <w:tcBorders>
              <w:top w:val="nil"/>
              <w:left w:val="nil"/>
              <w:bottom w:val="single" w:sz="8" w:space="0" w:color="4F81BD"/>
              <w:right w:val="nil"/>
            </w:tcBorders>
            <w:tcMar>
              <w:top w:w="0" w:type="dxa"/>
              <w:left w:w="108" w:type="dxa"/>
              <w:bottom w:w="0" w:type="dxa"/>
              <w:right w:w="108" w:type="dxa"/>
            </w:tcMar>
            <w:hideMark/>
          </w:tcPr>
          <w:p w:rsidR="007A0D73" w:rsidRPr="00804334" w:rsidRDefault="007A0D73" w:rsidP="004E588E">
            <w:pPr>
              <w:pStyle w:val="ListParagraph"/>
              <w:numPr>
                <w:ilvl w:val="0"/>
                <w:numId w:val="5"/>
              </w:numPr>
              <w:spacing w:after="0" w:line="240" w:lineRule="auto"/>
              <w:ind w:left="318" w:hanging="261"/>
              <w:rPr>
                <w:rFonts w:ascii="Arial" w:hAnsi="Arial" w:cs="Arial"/>
                <w:sz w:val="21"/>
                <w:szCs w:val="21"/>
                <w:lang w:val="en-US"/>
              </w:rPr>
            </w:pPr>
            <w:r w:rsidRPr="00804334">
              <w:rPr>
                <w:rFonts w:ascii="Arial" w:hAnsi="Arial" w:cs="Arial"/>
                <w:sz w:val="21"/>
                <w:szCs w:val="21"/>
                <w:lang w:val="en-US"/>
              </w:rPr>
              <w:t>An execution where the broker-dealer is acting as a dealer and is the principal on the opposite side of the client execution.</w:t>
            </w:r>
          </w:p>
        </w:tc>
        <w:tc>
          <w:tcPr>
            <w:tcW w:w="3656" w:type="dxa"/>
            <w:tcBorders>
              <w:top w:val="nil"/>
              <w:left w:val="nil"/>
              <w:bottom w:val="single" w:sz="8" w:space="0" w:color="4F81BD"/>
              <w:right w:val="single" w:sz="8" w:space="0" w:color="4F81BD"/>
            </w:tcBorders>
            <w:tcMar>
              <w:top w:w="0" w:type="dxa"/>
              <w:left w:w="108" w:type="dxa"/>
              <w:bottom w:w="0" w:type="dxa"/>
              <w:right w:w="108" w:type="dxa"/>
            </w:tcMar>
            <w:hideMark/>
          </w:tcPr>
          <w:p w:rsidR="007A0D73" w:rsidRDefault="007A0D73" w:rsidP="004E588E">
            <w:pPr>
              <w:pStyle w:val="ListParagraph"/>
              <w:numPr>
                <w:ilvl w:val="0"/>
                <w:numId w:val="5"/>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An execution where the broker-dealer is acting as a dealer and is the principal on the opposite side of the client execution.</w:t>
            </w:r>
          </w:p>
          <w:p w:rsidR="007A0D73" w:rsidRPr="00804334" w:rsidRDefault="007A0D73" w:rsidP="004E588E">
            <w:pPr>
              <w:pStyle w:val="ListParagraph"/>
              <w:numPr>
                <w:ilvl w:val="0"/>
                <w:numId w:val="5"/>
              </w:numPr>
              <w:spacing w:after="0" w:line="240" w:lineRule="auto"/>
              <w:ind w:left="317" w:hanging="261"/>
              <w:rPr>
                <w:rFonts w:ascii="Arial" w:hAnsi="Arial" w:cs="Arial"/>
                <w:sz w:val="21"/>
                <w:szCs w:val="21"/>
                <w:lang w:val="en-US"/>
              </w:rPr>
            </w:pPr>
            <w:r w:rsidRPr="00804334">
              <w:rPr>
                <w:rFonts w:ascii="Arial" w:hAnsi="Arial" w:cs="Arial"/>
                <w:sz w:val="21"/>
                <w:szCs w:val="21"/>
                <w:lang w:val="en-US"/>
              </w:rPr>
              <w:t>Where the FIX execution message is being used to communicate an indicative price and quantity (for example when being used by the broker to write a swap), regardless of the source of liquidity.</w:t>
            </w:r>
          </w:p>
        </w:tc>
      </w:tr>
    </w:tbl>
    <w:p w:rsidR="00CD6B06" w:rsidRDefault="00CD6B06"/>
    <w:sectPr w:rsidR="00CD6B06" w:rsidSect="00DA5E6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66" w:rsidRDefault="00D17366" w:rsidP="007A0D73">
      <w:pPr>
        <w:spacing w:after="0" w:line="240" w:lineRule="auto"/>
      </w:pPr>
      <w:r>
        <w:separator/>
      </w:r>
    </w:p>
  </w:endnote>
  <w:endnote w:type="continuationSeparator" w:id="0">
    <w:p w:rsidR="00D17366" w:rsidRDefault="00D17366" w:rsidP="007A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683944"/>
      <w:docPartObj>
        <w:docPartGallery w:val="Page Numbers (Bottom of Page)"/>
        <w:docPartUnique/>
      </w:docPartObj>
    </w:sdtPr>
    <w:sdtEndPr/>
    <w:sdtContent>
      <w:p w:rsidR="00DA5E63" w:rsidRDefault="00D17366">
        <w:pPr>
          <w:pStyle w:val="Footer"/>
          <w:jc w:val="center"/>
        </w:pPr>
        <w:r>
          <w:fldChar w:fldCharType="begin"/>
        </w:r>
        <w:r>
          <w:instrText xml:space="preserve"> PAGE   \* MERGEFORMAT </w:instrText>
        </w:r>
        <w:r>
          <w:fldChar w:fldCharType="separate"/>
        </w:r>
        <w:r w:rsidR="009659F2">
          <w:rPr>
            <w:noProof/>
          </w:rPr>
          <w:t>1</w:t>
        </w:r>
        <w:r>
          <w:rPr>
            <w:noProof/>
          </w:rPr>
          <w:fldChar w:fldCharType="end"/>
        </w:r>
      </w:p>
    </w:sdtContent>
  </w:sdt>
  <w:p w:rsidR="00DA5E63" w:rsidRDefault="00DA5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66" w:rsidRDefault="00D17366" w:rsidP="007A0D73">
      <w:pPr>
        <w:spacing w:after="0" w:line="240" w:lineRule="auto"/>
      </w:pPr>
      <w:r>
        <w:separator/>
      </w:r>
    </w:p>
  </w:footnote>
  <w:footnote w:type="continuationSeparator" w:id="0">
    <w:p w:rsidR="00D17366" w:rsidRDefault="00D17366" w:rsidP="007A0D73">
      <w:pPr>
        <w:spacing w:after="0" w:line="240" w:lineRule="auto"/>
      </w:pPr>
      <w:r>
        <w:continuationSeparator/>
      </w:r>
    </w:p>
  </w:footnote>
  <w:footnote w:id="1">
    <w:p w:rsidR="0045679A" w:rsidRDefault="0045679A">
      <w:pPr>
        <w:pStyle w:val="FootnoteText"/>
      </w:pPr>
      <w:r>
        <w:rPr>
          <w:rStyle w:val="FootnoteReference"/>
        </w:rPr>
        <w:footnoteRef/>
      </w:r>
      <w:r>
        <w:t xml:space="preserve"> MiFID II article 4.6.</w:t>
      </w:r>
    </w:p>
  </w:footnote>
  <w:footnote w:id="2">
    <w:p w:rsidR="0045679A" w:rsidRDefault="0045679A">
      <w:pPr>
        <w:pStyle w:val="FootnoteText"/>
      </w:pPr>
      <w:r>
        <w:rPr>
          <w:rStyle w:val="FootnoteReference"/>
        </w:rPr>
        <w:footnoteRef/>
      </w:r>
      <w:r>
        <w:t xml:space="preserve"> MiFID II recital 24.</w:t>
      </w:r>
    </w:p>
  </w:footnote>
  <w:footnote w:id="3">
    <w:p w:rsidR="0045679A" w:rsidRDefault="0045679A">
      <w:pPr>
        <w:pStyle w:val="FootnoteText"/>
      </w:pPr>
      <w:r>
        <w:rPr>
          <w:rStyle w:val="FootnoteReference"/>
        </w:rPr>
        <w:footnoteRef/>
      </w:r>
      <w:r>
        <w:t xml:space="preserve"> MiFID II article 4.38.</w:t>
      </w:r>
    </w:p>
  </w:footnote>
  <w:footnote w:id="4">
    <w:p w:rsidR="0045679A" w:rsidRDefault="0045679A">
      <w:pPr>
        <w:pStyle w:val="FootnoteText"/>
      </w:pPr>
      <w:r>
        <w:rPr>
          <w:rStyle w:val="FootnoteReference"/>
        </w:rPr>
        <w:footnoteRef/>
      </w:r>
      <w:r>
        <w:t xml:space="preserve"> “Guidelines – Transaction reporting, order record keeping and clock synchronisation under MiFID II”, 10 October 2016 ESMA/2016/1452 Section 5.2.</w:t>
      </w:r>
    </w:p>
  </w:footnote>
  <w:footnote w:id="5">
    <w:p w:rsidR="0045679A" w:rsidRDefault="0045679A">
      <w:pPr>
        <w:pStyle w:val="FootnoteText"/>
      </w:pPr>
      <w:r>
        <w:rPr>
          <w:rStyle w:val="FootnoteReference"/>
        </w:rPr>
        <w:footnoteRef/>
      </w:r>
      <w:r>
        <w:t xml:space="preserve"> “Guidelines – Transaction reporting, order record keeping and clock synchronisation under MiFID II”, 10 October 2016 ESMA/2016/1452 Section 5.2.3.</w:t>
      </w:r>
    </w:p>
  </w:footnote>
  <w:footnote w:id="6">
    <w:p w:rsidR="0045679A" w:rsidRDefault="0045679A">
      <w:pPr>
        <w:pStyle w:val="FootnoteText"/>
      </w:pPr>
      <w:r>
        <w:rPr>
          <w:rStyle w:val="FootnoteReference"/>
        </w:rPr>
        <w:footnoteRef/>
      </w:r>
      <w:r>
        <w:t xml:space="preserve"> “Guidelines – Transaction reporting, order record keeping and clock synchronisation under MiFID II”, 10 October 2016 ESMA/2016/1452 Section 5.28.</w:t>
      </w:r>
    </w:p>
  </w:footnote>
  <w:footnote w:id="7">
    <w:p w:rsidR="0045679A" w:rsidRDefault="0045679A" w:rsidP="00D45B72">
      <w:pPr>
        <w:pStyle w:val="FootnoteText"/>
      </w:pPr>
      <w:r>
        <w:rPr>
          <w:rStyle w:val="FootnoteReference"/>
        </w:rPr>
        <w:footnoteRef/>
      </w:r>
      <w:r>
        <w:t xml:space="preserve"> “Guidelines – Transaction reporting, order record keeping and clock synchronisation under MiFID II”, 10 October 2016 ESMA/2016/1452 Section 5.22.</w:t>
      </w:r>
    </w:p>
  </w:footnote>
  <w:footnote w:id="8">
    <w:p w:rsidR="0045679A" w:rsidRDefault="0045679A" w:rsidP="00594C75">
      <w:pPr>
        <w:pStyle w:val="FootnoteText"/>
      </w:pPr>
      <w:r>
        <w:rPr>
          <w:rStyle w:val="FootnoteReference"/>
        </w:rPr>
        <w:footnoteRef/>
      </w:r>
      <w:r>
        <w:t xml:space="preserve"> “Guidelines – Transaction reporting, order record keeping and clock synchronisation under MiFID II”, 10 October 2016 ESMA/2016/1452 Section 5.22.1.a).</w:t>
      </w:r>
    </w:p>
  </w:footnote>
  <w:footnote w:id="9">
    <w:p w:rsidR="0045679A" w:rsidRDefault="0045679A" w:rsidP="00594C75">
      <w:pPr>
        <w:pStyle w:val="FootnoteText"/>
      </w:pPr>
      <w:r>
        <w:rPr>
          <w:rStyle w:val="FootnoteReference"/>
        </w:rPr>
        <w:footnoteRef/>
      </w:r>
      <w:r>
        <w:t xml:space="preserve"> “Guidelines – Transaction reporting, order record keeping and clock synchronisation under MiFID II”, 10 October 2016 ESMA/2016/1452 Section 5.1.</w:t>
      </w:r>
    </w:p>
  </w:footnote>
  <w:footnote w:id="10">
    <w:p w:rsidR="0045679A" w:rsidRDefault="0045679A">
      <w:pPr>
        <w:pStyle w:val="FootnoteText"/>
      </w:pPr>
      <w:r>
        <w:rPr>
          <w:rStyle w:val="FootnoteReference"/>
        </w:rPr>
        <w:footnoteRef/>
      </w:r>
      <w:r>
        <w:t xml:space="preserve"> “Guidelines – Transaction reporting, order record keeping and clock synchronisation under MiFID II”, 10 October 2016 ESMA/2016/1452 Section 5.22.1.b).</w:t>
      </w:r>
    </w:p>
  </w:footnote>
  <w:footnote w:id="11">
    <w:p w:rsidR="0045679A" w:rsidRDefault="0045679A">
      <w:pPr>
        <w:pStyle w:val="FootnoteText"/>
      </w:pPr>
      <w:r>
        <w:rPr>
          <w:rStyle w:val="FootnoteReference"/>
        </w:rPr>
        <w:footnoteRef/>
      </w:r>
      <w:r>
        <w:t xml:space="preserve"> MiFIR 25/RTS 24.</w:t>
      </w:r>
    </w:p>
  </w:footnote>
  <w:footnote w:id="12">
    <w:p w:rsidR="0045679A" w:rsidRDefault="0045679A">
      <w:pPr>
        <w:pStyle w:val="FootnoteText"/>
      </w:pPr>
      <w:r>
        <w:rPr>
          <w:rStyle w:val="FootnoteReference"/>
        </w:rPr>
        <w:footnoteRef/>
      </w:r>
      <w:r>
        <w:t xml:space="preserve"> MiFIR 26/RTS 22.</w:t>
      </w:r>
    </w:p>
  </w:footnote>
  <w:footnote w:id="13">
    <w:p w:rsidR="0045679A" w:rsidRDefault="0045679A" w:rsidP="00686314">
      <w:pPr>
        <w:pStyle w:val="FootnoteText"/>
      </w:pPr>
      <w:r>
        <w:rPr>
          <w:rStyle w:val="FootnoteReference"/>
        </w:rPr>
        <w:footnoteRef/>
      </w:r>
      <w:r>
        <w:t xml:space="preserve"> </w:t>
      </w:r>
      <w:r>
        <w:rPr>
          <w:lang w:val="en-US"/>
        </w:rPr>
        <w:t>It should be noted that this statement should not be considered legal advice and merely represents an opinion voiced by a number of FIX member firms.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A040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F422A9"/>
    <w:multiLevelType w:val="hybridMultilevel"/>
    <w:tmpl w:val="BE6825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6610E6"/>
    <w:multiLevelType w:val="hybridMultilevel"/>
    <w:tmpl w:val="B40474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6423E47"/>
    <w:multiLevelType w:val="hybridMultilevel"/>
    <w:tmpl w:val="E236EA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B085AA3"/>
    <w:multiLevelType w:val="hybridMultilevel"/>
    <w:tmpl w:val="F29E6054"/>
    <w:lvl w:ilvl="0" w:tplc="43AEE5BE">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D517A1"/>
    <w:multiLevelType w:val="hybridMultilevel"/>
    <w:tmpl w:val="7E8097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F6A6962"/>
    <w:multiLevelType w:val="hybridMultilevel"/>
    <w:tmpl w:val="38B6FA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73"/>
    <w:rsid w:val="00101CE6"/>
    <w:rsid w:val="00116639"/>
    <w:rsid w:val="001548B7"/>
    <w:rsid w:val="001773A5"/>
    <w:rsid w:val="001E2D90"/>
    <w:rsid w:val="001E4060"/>
    <w:rsid w:val="002E6F1A"/>
    <w:rsid w:val="003220DF"/>
    <w:rsid w:val="00427B77"/>
    <w:rsid w:val="0045679A"/>
    <w:rsid w:val="00496607"/>
    <w:rsid w:val="004E588E"/>
    <w:rsid w:val="0051561E"/>
    <w:rsid w:val="00547D03"/>
    <w:rsid w:val="00552661"/>
    <w:rsid w:val="005734DE"/>
    <w:rsid w:val="00594C75"/>
    <w:rsid w:val="00616322"/>
    <w:rsid w:val="00686314"/>
    <w:rsid w:val="006C39AE"/>
    <w:rsid w:val="00765A0B"/>
    <w:rsid w:val="007A0D73"/>
    <w:rsid w:val="00804334"/>
    <w:rsid w:val="00813C56"/>
    <w:rsid w:val="00823960"/>
    <w:rsid w:val="00856BE9"/>
    <w:rsid w:val="009659F2"/>
    <w:rsid w:val="00AF451B"/>
    <w:rsid w:val="00BE169A"/>
    <w:rsid w:val="00C57C5F"/>
    <w:rsid w:val="00CD6B06"/>
    <w:rsid w:val="00D055A8"/>
    <w:rsid w:val="00D17366"/>
    <w:rsid w:val="00D45B72"/>
    <w:rsid w:val="00D652A4"/>
    <w:rsid w:val="00DA5E63"/>
    <w:rsid w:val="00DB4DD9"/>
    <w:rsid w:val="00DD6A98"/>
    <w:rsid w:val="00E72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06"/>
    <w:pPr>
      <w:spacing w:after="200" w:line="276" w:lineRule="auto"/>
    </w:pPr>
    <w:rPr>
      <w:rFonts w:ascii="Arial" w:hAnsi="Arial" w:cs="Arial"/>
      <w:szCs w:val="22"/>
      <w:lang w:eastAsia="en-US"/>
    </w:rPr>
  </w:style>
  <w:style w:type="paragraph" w:styleId="Heading1">
    <w:name w:val="heading 1"/>
    <w:basedOn w:val="Normal"/>
    <w:link w:val="Heading1Char"/>
    <w:uiPriority w:val="9"/>
    <w:qFormat/>
    <w:rsid w:val="007A0D73"/>
    <w:pPr>
      <w:keepNext/>
      <w:spacing w:before="480" w:after="0"/>
      <w:outlineLvl w:val="0"/>
    </w:pPr>
    <w:rPr>
      <w:rFonts w:ascii="Cambria" w:hAnsi="Cambria" w:cs="Times New Roman"/>
      <w:b/>
      <w:bCs/>
      <w:color w:val="365F91"/>
      <w:kern w:val="36"/>
      <w:sz w:val="28"/>
      <w:szCs w:val="28"/>
      <w:lang w:eastAsia="en-GB"/>
    </w:rPr>
  </w:style>
  <w:style w:type="paragraph" w:styleId="Heading2">
    <w:name w:val="heading 2"/>
    <w:basedOn w:val="Normal"/>
    <w:link w:val="Heading2Char"/>
    <w:uiPriority w:val="9"/>
    <w:semiHidden/>
    <w:unhideWhenUsed/>
    <w:qFormat/>
    <w:rsid w:val="007A0D73"/>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D73"/>
    <w:rPr>
      <w:rFonts w:ascii="Cambria" w:hAnsi="Cambria" w:cs="Times New Roman"/>
      <w:b/>
      <w:bCs/>
      <w:color w:val="365F91"/>
      <w:kern w:val="36"/>
      <w:sz w:val="28"/>
      <w:szCs w:val="28"/>
      <w:lang w:eastAsia="en-GB"/>
    </w:rPr>
  </w:style>
  <w:style w:type="character" w:customStyle="1" w:styleId="Heading2Char">
    <w:name w:val="Heading 2 Char"/>
    <w:basedOn w:val="DefaultParagraphFont"/>
    <w:link w:val="Heading2"/>
    <w:uiPriority w:val="9"/>
    <w:semiHidden/>
    <w:rsid w:val="007A0D73"/>
    <w:rPr>
      <w:rFonts w:ascii="Cambria" w:hAnsi="Cambria" w:cs="Times New Roman"/>
      <w:b/>
      <w:bCs/>
      <w:color w:val="4F81BD"/>
      <w:sz w:val="26"/>
      <w:szCs w:val="26"/>
      <w:lang w:eastAsia="en-GB"/>
    </w:rPr>
  </w:style>
  <w:style w:type="paragraph" w:styleId="FootnoteText">
    <w:name w:val="footnote text"/>
    <w:basedOn w:val="Normal"/>
    <w:link w:val="FootnoteTextChar"/>
    <w:uiPriority w:val="99"/>
    <w:semiHidden/>
    <w:unhideWhenUsed/>
    <w:rsid w:val="007A0D73"/>
    <w:pPr>
      <w:spacing w:after="0" w:line="240" w:lineRule="auto"/>
    </w:pPr>
    <w:rPr>
      <w:rFonts w:ascii="Times New Roman" w:hAnsi="Times New Roman" w:cs="Times New Roman"/>
      <w:szCs w:val="20"/>
      <w:lang w:eastAsia="en-GB"/>
    </w:rPr>
  </w:style>
  <w:style w:type="character" w:customStyle="1" w:styleId="FootnoteTextChar">
    <w:name w:val="Footnote Text Char"/>
    <w:basedOn w:val="DefaultParagraphFont"/>
    <w:link w:val="FootnoteText"/>
    <w:uiPriority w:val="99"/>
    <w:semiHidden/>
    <w:rsid w:val="007A0D73"/>
    <w:rPr>
      <w:rFonts w:ascii="Times New Roman" w:hAnsi="Times New Roman" w:cs="Times New Roman"/>
      <w:sz w:val="20"/>
      <w:szCs w:val="20"/>
      <w:lang w:eastAsia="en-GB"/>
    </w:rPr>
  </w:style>
  <w:style w:type="paragraph" w:styleId="ListBullet">
    <w:name w:val="List Bullet"/>
    <w:basedOn w:val="Normal"/>
    <w:uiPriority w:val="99"/>
    <w:unhideWhenUsed/>
    <w:rsid w:val="007A0D73"/>
    <w:pPr>
      <w:numPr>
        <w:numId w:val="1"/>
      </w:numPr>
    </w:pPr>
    <w:rPr>
      <w:szCs w:val="20"/>
      <w:lang w:eastAsia="en-GB"/>
    </w:rPr>
  </w:style>
  <w:style w:type="paragraph" w:styleId="ListParagraph">
    <w:name w:val="List Paragraph"/>
    <w:basedOn w:val="Normal"/>
    <w:uiPriority w:val="34"/>
    <w:qFormat/>
    <w:rsid w:val="007A0D73"/>
    <w:pPr>
      <w:spacing w:after="160" w:line="252" w:lineRule="auto"/>
      <w:ind w:left="720"/>
    </w:pPr>
    <w:rPr>
      <w:rFonts w:ascii="Calibri" w:hAnsi="Calibri" w:cs="Calibri"/>
      <w:sz w:val="22"/>
      <w:lang w:eastAsia="en-GB"/>
    </w:rPr>
  </w:style>
  <w:style w:type="character" w:styleId="FootnoteReference">
    <w:name w:val="footnote reference"/>
    <w:basedOn w:val="DefaultParagraphFont"/>
    <w:uiPriority w:val="99"/>
    <w:semiHidden/>
    <w:unhideWhenUsed/>
    <w:rsid w:val="007A0D73"/>
    <w:rPr>
      <w:vertAlign w:val="superscript"/>
    </w:rPr>
  </w:style>
  <w:style w:type="character" w:styleId="CommentReference">
    <w:name w:val="annotation reference"/>
    <w:basedOn w:val="DefaultParagraphFont"/>
    <w:uiPriority w:val="99"/>
    <w:semiHidden/>
    <w:unhideWhenUsed/>
    <w:rsid w:val="007A0D73"/>
    <w:rPr>
      <w:sz w:val="16"/>
      <w:szCs w:val="16"/>
    </w:rPr>
  </w:style>
  <w:style w:type="paragraph" w:styleId="CommentText">
    <w:name w:val="annotation text"/>
    <w:basedOn w:val="Normal"/>
    <w:link w:val="CommentTextChar"/>
    <w:uiPriority w:val="99"/>
    <w:semiHidden/>
    <w:unhideWhenUsed/>
    <w:rsid w:val="007A0D73"/>
    <w:pPr>
      <w:spacing w:line="240" w:lineRule="auto"/>
    </w:pPr>
    <w:rPr>
      <w:szCs w:val="20"/>
    </w:rPr>
  </w:style>
  <w:style w:type="character" w:customStyle="1" w:styleId="CommentTextChar">
    <w:name w:val="Comment Text Char"/>
    <w:basedOn w:val="DefaultParagraphFont"/>
    <w:link w:val="CommentText"/>
    <w:uiPriority w:val="99"/>
    <w:semiHidden/>
    <w:rsid w:val="007A0D7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A0D73"/>
    <w:rPr>
      <w:b/>
      <w:bCs/>
    </w:rPr>
  </w:style>
  <w:style w:type="character" w:customStyle="1" w:styleId="CommentSubjectChar">
    <w:name w:val="Comment Subject Char"/>
    <w:basedOn w:val="CommentTextChar"/>
    <w:link w:val="CommentSubject"/>
    <w:uiPriority w:val="99"/>
    <w:semiHidden/>
    <w:rsid w:val="007A0D73"/>
    <w:rPr>
      <w:rFonts w:ascii="Arial" w:hAnsi="Arial" w:cs="Arial"/>
      <w:b/>
      <w:bCs/>
      <w:sz w:val="20"/>
      <w:szCs w:val="20"/>
    </w:rPr>
  </w:style>
  <w:style w:type="paragraph" w:styleId="BalloonText">
    <w:name w:val="Balloon Text"/>
    <w:basedOn w:val="Normal"/>
    <w:link w:val="BalloonTextChar"/>
    <w:uiPriority w:val="99"/>
    <w:semiHidden/>
    <w:unhideWhenUsed/>
    <w:rsid w:val="007A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73"/>
    <w:rPr>
      <w:rFonts w:ascii="Tahoma" w:hAnsi="Tahoma" w:cs="Tahoma"/>
      <w:sz w:val="16"/>
      <w:szCs w:val="16"/>
    </w:rPr>
  </w:style>
  <w:style w:type="paragraph" w:styleId="Title">
    <w:name w:val="Title"/>
    <w:basedOn w:val="Normal"/>
    <w:next w:val="Normal"/>
    <w:link w:val="TitleChar"/>
    <w:uiPriority w:val="10"/>
    <w:qFormat/>
    <w:rsid w:val="002E6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6F1A"/>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semiHidden/>
    <w:unhideWhenUsed/>
    <w:rsid w:val="00DA5E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5E63"/>
    <w:rPr>
      <w:rFonts w:ascii="Arial" w:hAnsi="Arial" w:cs="Arial"/>
      <w:szCs w:val="22"/>
      <w:lang w:eastAsia="en-US"/>
    </w:rPr>
  </w:style>
  <w:style w:type="paragraph" w:styleId="Footer">
    <w:name w:val="footer"/>
    <w:basedOn w:val="Normal"/>
    <w:link w:val="FooterChar"/>
    <w:uiPriority w:val="99"/>
    <w:unhideWhenUsed/>
    <w:rsid w:val="00DA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63"/>
    <w:rPr>
      <w:rFonts w:ascii="Arial" w:hAnsi="Arial" w:cs="Arial"/>
      <w:szCs w:val="22"/>
      <w:lang w:eastAsia="en-US"/>
    </w:rPr>
  </w:style>
  <w:style w:type="table" w:styleId="LightList-Accent1">
    <w:name w:val="Light List Accent 1"/>
    <w:basedOn w:val="TableNormal"/>
    <w:uiPriority w:val="61"/>
    <w:rsid w:val="005526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55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06"/>
    <w:pPr>
      <w:spacing w:after="200" w:line="276" w:lineRule="auto"/>
    </w:pPr>
    <w:rPr>
      <w:rFonts w:ascii="Arial" w:hAnsi="Arial" w:cs="Arial"/>
      <w:szCs w:val="22"/>
      <w:lang w:eastAsia="en-US"/>
    </w:rPr>
  </w:style>
  <w:style w:type="paragraph" w:styleId="Heading1">
    <w:name w:val="heading 1"/>
    <w:basedOn w:val="Normal"/>
    <w:link w:val="Heading1Char"/>
    <w:uiPriority w:val="9"/>
    <w:qFormat/>
    <w:rsid w:val="007A0D73"/>
    <w:pPr>
      <w:keepNext/>
      <w:spacing w:before="480" w:after="0"/>
      <w:outlineLvl w:val="0"/>
    </w:pPr>
    <w:rPr>
      <w:rFonts w:ascii="Cambria" w:hAnsi="Cambria" w:cs="Times New Roman"/>
      <w:b/>
      <w:bCs/>
      <w:color w:val="365F91"/>
      <w:kern w:val="36"/>
      <w:sz w:val="28"/>
      <w:szCs w:val="28"/>
      <w:lang w:eastAsia="en-GB"/>
    </w:rPr>
  </w:style>
  <w:style w:type="paragraph" w:styleId="Heading2">
    <w:name w:val="heading 2"/>
    <w:basedOn w:val="Normal"/>
    <w:link w:val="Heading2Char"/>
    <w:uiPriority w:val="9"/>
    <w:semiHidden/>
    <w:unhideWhenUsed/>
    <w:qFormat/>
    <w:rsid w:val="007A0D73"/>
    <w:pPr>
      <w:keepNext/>
      <w:spacing w:before="200" w:after="0"/>
      <w:outlineLvl w:val="1"/>
    </w:pPr>
    <w:rPr>
      <w:rFonts w:ascii="Cambria"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D73"/>
    <w:rPr>
      <w:rFonts w:ascii="Cambria" w:hAnsi="Cambria" w:cs="Times New Roman"/>
      <w:b/>
      <w:bCs/>
      <w:color w:val="365F91"/>
      <w:kern w:val="36"/>
      <w:sz w:val="28"/>
      <w:szCs w:val="28"/>
      <w:lang w:eastAsia="en-GB"/>
    </w:rPr>
  </w:style>
  <w:style w:type="character" w:customStyle="1" w:styleId="Heading2Char">
    <w:name w:val="Heading 2 Char"/>
    <w:basedOn w:val="DefaultParagraphFont"/>
    <w:link w:val="Heading2"/>
    <w:uiPriority w:val="9"/>
    <w:semiHidden/>
    <w:rsid w:val="007A0D73"/>
    <w:rPr>
      <w:rFonts w:ascii="Cambria" w:hAnsi="Cambria" w:cs="Times New Roman"/>
      <w:b/>
      <w:bCs/>
      <w:color w:val="4F81BD"/>
      <w:sz w:val="26"/>
      <w:szCs w:val="26"/>
      <w:lang w:eastAsia="en-GB"/>
    </w:rPr>
  </w:style>
  <w:style w:type="paragraph" w:styleId="FootnoteText">
    <w:name w:val="footnote text"/>
    <w:basedOn w:val="Normal"/>
    <w:link w:val="FootnoteTextChar"/>
    <w:uiPriority w:val="99"/>
    <w:semiHidden/>
    <w:unhideWhenUsed/>
    <w:rsid w:val="007A0D73"/>
    <w:pPr>
      <w:spacing w:after="0" w:line="240" w:lineRule="auto"/>
    </w:pPr>
    <w:rPr>
      <w:rFonts w:ascii="Times New Roman" w:hAnsi="Times New Roman" w:cs="Times New Roman"/>
      <w:szCs w:val="20"/>
      <w:lang w:eastAsia="en-GB"/>
    </w:rPr>
  </w:style>
  <w:style w:type="character" w:customStyle="1" w:styleId="FootnoteTextChar">
    <w:name w:val="Footnote Text Char"/>
    <w:basedOn w:val="DefaultParagraphFont"/>
    <w:link w:val="FootnoteText"/>
    <w:uiPriority w:val="99"/>
    <w:semiHidden/>
    <w:rsid w:val="007A0D73"/>
    <w:rPr>
      <w:rFonts w:ascii="Times New Roman" w:hAnsi="Times New Roman" w:cs="Times New Roman"/>
      <w:sz w:val="20"/>
      <w:szCs w:val="20"/>
      <w:lang w:eastAsia="en-GB"/>
    </w:rPr>
  </w:style>
  <w:style w:type="paragraph" w:styleId="ListBullet">
    <w:name w:val="List Bullet"/>
    <w:basedOn w:val="Normal"/>
    <w:uiPriority w:val="99"/>
    <w:unhideWhenUsed/>
    <w:rsid w:val="007A0D73"/>
    <w:pPr>
      <w:numPr>
        <w:numId w:val="1"/>
      </w:numPr>
    </w:pPr>
    <w:rPr>
      <w:szCs w:val="20"/>
      <w:lang w:eastAsia="en-GB"/>
    </w:rPr>
  </w:style>
  <w:style w:type="paragraph" w:styleId="ListParagraph">
    <w:name w:val="List Paragraph"/>
    <w:basedOn w:val="Normal"/>
    <w:uiPriority w:val="34"/>
    <w:qFormat/>
    <w:rsid w:val="007A0D73"/>
    <w:pPr>
      <w:spacing w:after="160" w:line="252" w:lineRule="auto"/>
      <w:ind w:left="720"/>
    </w:pPr>
    <w:rPr>
      <w:rFonts w:ascii="Calibri" w:hAnsi="Calibri" w:cs="Calibri"/>
      <w:sz w:val="22"/>
      <w:lang w:eastAsia="en-GB"/>
    </w:rPr>
  </w:style>
  <w:style w:type="character" w:styleId="FootnoteReference">
    <w:name w:val="footnote reference"/>
    <w:basedOn w:val="DefaultParagraphFont"/>
    <w:uiPriority w:val="99"/>
    <w:semiHidden/>
    <w:unhideWhenUsed/>
    <w:rsid w:val="007A0D73"/>
    <w:rPr>
      <w:vertAlign w:val="superscript"/>
    </w:rPr>
  </w:style>
  <w:style w:type="character" w:styleId="CommentReference">
    <w:name w:val="annotation reference"/>
    <w:basedOn w:val="DefaultParagraphFont"/>
    <w:uiPriority w:val="99"/>
    <w:semiHidden/>
    <w:unhideWhenUsed/>
    <w:rsid w:val="007A0D73"/>
    <w:rPr>
      <w:sz w:val="16"/>
      <w:szCs w:val="16"/>
    </w:rPr>
  </w:style>
  <w:style w:type="paragraph" w:styleId="CommentText">
    <w:name w:val="annotation text"/>
    <w:basedOn w:val="Normal"/>
    <w:link w:val="CommentTextChar"/>
    <w:uiPriority w:val="99"/>
    <w:semiHidden/>
    <w:unhideWhenUsed/>
    <w:rsid w:val="007A0D73"/>
    <w:pPr>
      <w:spacing w:line="240" w:lineRule="auto"/>
    </w:pPr>
    <w:rPr>
      <w:szCs w:val="20"/>
    </w:rPr>
  </w:style>
  <w:style w:type="character" w:customStyle="1" w:styleId="CommentTextChar">
    <w:name w:val="Comment Text Char"/>
    <w:basedOn w:val="DefaultParagraphFont"/>
    <w:link w:val="CommentText"/>
    <w:uiPriority w:val="99"/>
    <w:semiHidden/>
    <w:rsid w:val="007A0D7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A0D73"/>
    <w:rPr>
      <w:b/>
      <w:bCs/>
    </w:rPr>
  </w:style>
  <w:style w:type="character" w:customStyle="1" w:styleId="CommentSubjectChar">
    <w:name w:val="Comment Subject Char"/>
    <w:basedOn w:val="CommentTextChar"/>
    <w:link w:val="CommentSubject"/>
    <w:uiPriority w:val="99"/>
    <w:semiHidden/>
    <w:rsid w:val="007A0D73"/>
    <w:rPr>
      <w:rFonts w:ascii="Arial" w:hAnsi="Arial" w:cs="Arial"/>
      <w:b/>
      <w:bCs/>
      <w:sz w:val="20"/>
      <w:szCs w:val="20"/>
    </w:rPr>
  </w:style>
  <w:style w:type="paragraph" w:styleId="BalloonText">
    <w:name w:val="Balloon Text"/>
    <w:basedOn w:val="Normal"/>
    <w:link w:val="BalloonTextChar"/>
    <w:uiPriority w:val="99"/>
    <w:semiHidden/>
    <w:unhideWhenUsed/>
    <w:rsid w:val="007A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73"/>
    <w:rPr>
      <w:rFonts w:ascii="Tahoma" w:hAnsi="Tahoma" w:cs="Tahoma"/>
      <w:sz w:val="16"/>
      <w:szCs w:val="16"/>
    </w:rPr>
  </w:style>
  <w:style w:type="paragraph" w:styleId="Title">
    <w:name w:val="Title"/>
    <w:basedOn w:val="Normal"/>
    <w:next w:val="Normal"/>
    <w:link w:val="TitleChar"/>
    <w:uiPriority w:val="10"/>
    <w:qFormat/>
    <w:rsid w:val="002E6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6F1A"/>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semiHidden/>
    <w:unhideWhenUsed/>
    <w:rsid w:val="00DA5E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5E63"/>
    <w:rPr>
      <w:rFonts w:ascii="Arial" w:hAnsi="Arial" w:cs="Arial"/>
      <w:szCs w:val="22"/>
      <w:lang w:eastAsia="en-US"/>
    </w:rPr>
  </w:style>
  <w:style w:type="paragraph" w:styleId="Footer">
    <w:name w:val="footer"/>
    <w:basedOn w:val="Normal"/>
    <w:link w:val="FooterChar"/>
    <w:uiPriority w:val="99"/>
    <w:unhideWhenUsed/>
    <w:rsid w:val="00DA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E63"/>
    <w:rPr>
      <w:rFonts w:ascii="Arial" w:hAnsi="Arial" w:cs="Arial"/>
      <w:szCs w:val="22"/>
      <w:lang w:eastAsia="en-US"/>
    </w:rPr>
  </w:style>
  <w:style w:type="table" w:styleId="LightList-Accent1">
    <w:name w:val="Light List Accent 1"/>
    <w:basedOn w:val="TableNormal"/>
    <w:uiPriority w:val="61"/>
    <w:rsid w:val="005526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552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EC93-E70E-4563-A552-7F9FF031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Natan Tiefenbrun</dc:creator>
  <cp:lastModifiedBy>Kathleen Callahan</cp:lastModifiedBy>
  <cp:revision>2</cp:revision>
  <cp:lastPrinted>2017-01-19T08:51:00Z</cp:lastPrinted>
  <dcterms:created xsi:type="dcterms:W3CDTF">2017-05-10T19:28:00Z</dcterms:created>
  <dcterms:modified xsi:type="dcterms:W3CDTF">2017-05-10T19:28:00Z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