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48596A1A" w:rsidR="00D873DF" w:rsidRDefault="00394F12" w:rsidP="007128DC">
      <w:pPr>
        <w:pStyle w:val="Title"/>
        <w:outlineLvl w:val="9"/>
        <w:rPr>
          <w:sz w:val="40"/>
          <w:szCs w:val="40"/>
        </w:rPr>
      </w:pPr>
      <w:r>
        <w:rPr>
          <w:sz w:val="40"/>
          <w:szCs w:val="40"/>
        </w:rPr>
        <w:t>FIX Global Technical Committee</w:t>
      </w:r>
    </w:p>
    <w:p w14:paraId="1ECAFEE4" w14:textId="5ACF22E7" w:rsidR="00D873DF" w:rsidRDefault="00E56E06" w:rsidP="00D873DF">
      <w:pPr>
        <w:pStyle w:val="Title"/>
        <w:rPr>
          <w:sz w:val="40"/>
          <w:szCs w:val="40"/>
        </w:rPr>
      </w:pPr>
      <w:bookmarkStart w:id="0" w:name="DocTitle"/>
      <w:r>
        <w:rPr>
          <w:sz w:val="40"/>
          <w:szCs w:val="40"/>
        </w:rPr>
        <w:t xml:space="preserve"> </w:t>
      </w:r>
      <w:proofErr w:type="spellStart"/>
      <w:r w:rsidR="00222A69">
        <w:rPr>
          <w:sz w:val="40"/>
          <w:szCs w:val="40"/>
        </w:rPr>
        <w:t>RegulatoryTradeIDGrp</w:t>
      </w:r>
      <w:proofErr w:type="spellEnd"/>
      <w:r w:rsidR="00222A69">
        <w:rPr>
          <w:sz w:val="40"/>
          <w:szCs w:val="40"/>
        </w:rPr>
        <w:t xml:space="preserve"> Enhancements</w:t>
      </w:r>
      <w:r>
        <w:rPr>
          <w:sz w:val="40"/>
          <w:szCs w:val="40"/>
        </w:rPr>
        <w:t xml:space="preserve"> </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1397141B" w:rsidR="00D873DF" w:rsidRDefault="00E56E06" w:rsidP="007128DC">
      <w:pPr>
        <w:pStyle w:val="Title"/>
        <w:outlineLvl w:val="9"/>
        <w:rPr>
          <w:sz w:val="24"/>
          <w:szCs w:val="24"/>
        </w:rPr>
      </w:pPr>
      <w:bookmarkStart w:id="1" w:name="RevDate"/>
      <w:r>
        <w:rPr>
          <w:sz w:val="24"/>
          <w:szCs w:val="24"/>
        </w:rPr>
        <w:t xml:space="preserve"> </w:t>
      </w:r>
      <w:r w:rsidR="00222A69">
        <w:rPr>
          <w:sz w:val="24"/>
          <w:szCs w:val="24"/>
        </w:rPr>
        <w:t>August 1</w:t>
      </w:r>
      <w:r w:rsidR="003E4C9D">
        <w:rPr>
          <w:sz w:val="24"/>
          <w:szCs w:val="24"/>
        </w:rPr>
        <w:t>5</w:t>
      </w:r>
      <w:r>
        <w:rPr>
          <w:sz w:val="24"/>
          <w:szCs w:val="24"/>
        </w:rPr>
        <w:t xml:space="preserve">, 2022 </w:t>
      </w:r>
      <w:bookmarkEnd w:id="1"/>
    </w:p>
    <w:p w14:paraId="420AC0AE" w14:textId="01E30B41" w:rsidR="00D873DF" w:rsidRDefault="00E56E06" w:rsidP="007128DC">
      <w:pPr>
        <w:pStyle w:val="Title"/>
        <w:outlineLvl w:val="9"/>
        <w:rPr>
          <w:sz w:val="24"/>
          <w:szCs w:val="24"/>
        </w:rPr>
      </w:pPr>
      <w:bookmarkStart w:id="2" w:name="_Toc105491793"/>
      <w:bookmarkStart w:id="3" w:name="RevNum"/>
      <w:r>
        <w:rPr>
          <w:sz w:val="24"/>
          <w:szCs w:val="24"/>
        </w:rPr>
        <w:t xml:space="preserve"> </w:t>
      </w:r>
      <w:bookmarkEnd w:id="2"/>
      <w:r>
        <w:rPr>
          <w:sz w:val="24"/>
          <w:szCs w:val="24"/>
        </w:rPr>
        <w:t>v0.</w:t>
      </w:r>
      <w:r w:rsidR="003E4C9D">
        <w:rPr>
          <w:sz w:val="24"/>
          <w:szCs w:val="24"/>
        </w:rPr>
        <w:t>2</w:t>
      </w:r>
      <w:r>
        <w:rPr>
          <w:sz w:val="24"/>
          <w:szCs w:val="24"/>
        </w:rPr>
        <w:t xml:space="preserve"> </w:t>
      </w:r>
      <w:bookmarkEnd w:id="3"/>
    </w:p>
    <w:p w14:paraId="318EBAB0" w14:textId="28F0866B" w:rsidR="003318F4" w:rsidRPr="00701C7C" w:rsidRDefault="003318F4" w:rsidP="007128DC">
      <w:pPr>
        <w:pStyle w:val="Title"/>
        <w:outlineLvl w:val="9"/>
        <w:rPr>
          <w:sz w:val="24"/>
          <w:szCs w:val="24"/>
        </w:rPr>
      </w:pPr>
      <w:r>
        <w:rPr>
          <w:sz w:val="24"/>
          <w:szCs w:val="24"/>
        </w:rPr>
        <w:t xml:space="preserve">Proposal Status:  Draft </w:t>
      </w:r>
    </w:p>
    <w:p w14:paraId="4B9CC5DB" w14:textId="77777777" w:rsidR="00D873DF" w:rsidRDefault="00D873DF" w:rsidP="00D873DF"/>
    <w:p w14:paraId="585F4D2E"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4" w:history="1">
        <w:r w:rsidRPr="007C34C0">
          <w:rPr>
            <w:rStyle w:val="Hyperlink"/>
          </w:rPr>
          <w:t>Creative Commons Attribution-</w:t>
        </w:r>
        <w:proofErr w:type="spellStart"/>
        <w:r w:rsidRPr="007C34C0">
          <w:rPr>
            <w:rStyle w:val="Hyperlink"/>
          </w:rPr>
          <w:t>NoDerivatives</w:t>
        </w:r>
        <w:proofErr w:type="spellEnd"/>
        <w:r w:rsidRPr="007C34C0">
          <w:rPr>
            <w:rStyle w:val="Hyperlink"/>
          </w:rPr>
          <w:t xml:space="preserve">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9B52C00" w:rsidR="00F85F52" w:rsidRDefault="00F85F52" w:rsidP="00F85F52">
      <w:pPr>
        <w:numPr>
          <w:ilvl w:val="12"/>
          <w:numId w:val="0"/>
        </w:numPr>
      </w:pPr>
      <w:r>
        <w:t>Copyright 200</w:t>
      </w:r>
      <w:r w:rsidR="00BB39AF">
        <w:t>3-20</w:t>
      </w:r>
      <w:r w:rsidR="00834889">
        <w:t>2</w:t>
      </w:r>
      <w:r w:rsidR="00445FCC">
        <w:t>2</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23811955" w14:textId="77777777" w:rsidR="00696841" w:rsidRPr="00696841" w:rsidRDefault="00696841"/>
    <w:p w14:paraId="60EC8217" w14:textId="40AF7B53" w:rsidR="000640B0" w:rsidRDefault="000B410A">
      <w:pPr>
        <w:pStyle w:val="TOC1"/>
        <w:tabs>
          <w:tab w:val="right" w:leader="dot" w:pos="9350"/>
        </w:tabs>
        <w:rPr>
          <w:rFonts w:eastAsiaTheme="minorEastAsia" w:cstheme="minorBidi"/>
          <w:noProof/>
          <w:sz w:val="24"/>
          <w:lang w:eastAsia="en-GB"/>
        </w:rPr>
      </w:pPr>
      <w:r>
        <w:fldChar w:fldCharType="begin"/>
      </w:r>
      <w:r>
        <w:instrText xml:space="preserve"> TOC \o "2-3" \h \z \t "Heading 1,1" </w:instrText>
      </w:r>
      <w:r>
        <w:fldChar w:fldCharType="separate"/>
      </w:r>
      <w:hyperlink w:anchor="_Toc110516412" w:history="1">
        <w:r w:rsidR="000640B0" w:rsidRPr="002E7C1E">
          <w:rPr>
            <w:rStyle w:val="Hyperlink"/>
            <w:noProof/>
          </w:rPr>
          <w:t>Document History</w:t>
        </w:r>
        <w:r w:rsidR="000640B0">
          <w:rPr>
            <w:noProof/>
            <w:webHidden/>
          </w:rPr>
          <w:tab/>
        </w:r>
        <w:r w:rsidR="000640B0">
          <w:rPr>
            <w:noProof/>
            <w:webHidden/>
          </w:rPr>
          <w:fldChar w:fldCharType="begin"/>
        </w:r>
        <w:r w:rsidR="000640B0">
          <w:rPr>
            <w:noProof/>
            <w:webHidden/>
          </w:rPr>
          <w:instrText xml:space="preserve"> PAGEREF _Toc110516412 \h </w:instrText>
        </w:r>
        <w:r w:rsidR="000640B0">
          <w:rPr>
            <w:noProof/>
            <w:webHidden/>
          </w:rPr>
        </w:r>
        <w:r w:rsidR="000640B0">
          <w:rPr>
            <w:noProof/>
            <w:webHidden/>
          </w:rPr>
          <w:fldChar w:fldCharType="separate"/>
        </w:r>
        <w:r w:rsidR="000640B0">
          <w:rPr>
            <w:noProof/>
            <w:webHidden/>
          </w:rPr>
          <w:t>5</w:t>
        </w:r>
        <w:r w:rsidR="000640B0">
          <w:rPr>
            <w:noProof/>
            <w:webHidden/>
          </w:rPr>
          <w:fldChar w:fldCharType="end"/>
        </w:r>
      </w:hyperlink>
    </w:p>
    <w:p w14:paraId="6C4785EE" w14:textId="54F565DC" w:rsidR="000640B0" w:rsidRDefault="00B77358">
      <w:pPr>
        <w:pStyle w:val="TOC1"/>
        <w:tabs>
          <w:tab w:val="left" w:pos="450"/>
          <w:tab w:val="right" w:leader="dot" w:pos="9350"/>
        </w:tabs>
        <w:rPr>
          <w:rFonts w:eastAsiaTheme="minorEastAsia" w:cstheme="minorBidi"/>
          <w:noProof/>
          <w:sz w:val="24"/>
          <w:lang w:eastAsia="en-GB"/>
        </w:rPr>
      </w:pPr>
      <w:hyperlink w:anchor="_Toc110516413" w:history="1">
        <w:r w:rsidR="000640B0" w:rsidRPr="002E7C1E">
          <w:rPr>
            <w:rStyle w:val="Hyperlink"/>
            <w:noProof/>
          </w:rPr>
          <w:t>1</w:t>
        </w:r>
        <w:r w:rsidR="000640B0">
          <w:rPr>
            <w:rFonts w:eastAsiaTheme="minorEastAsia" w:cstheme="minorBidi"/>
            <w:noProof/>
            <w:sz w:val="24"/>
            <w:lang w:eastAsia="en-GB"/>
          </w:rPr>
          <w:tab/>
        </w:r>
        <w:r w:rsidR="000640B0" w:rsidRPr="002E7C1E">
          <w:rPr>
            <w:rStyle w:val="Hyperlink"/>
            <w:noProof/>
          </w:rPr>
          <w:t>Introduction</w:t>
        </w:r>
        <w:r w:rsidR="000640B0">
          <w:rPr>
            <w:noProof/>
            <w:webHidden/>
          </w:rPr>
          <w:tab/>
        </w:r>
        <w:r w:rsidR="000640B0">
          <w:rPr>
            <w:noProof/>
            <w:webHidden/>
          </w:rPr>
          <w:fldChar w:fldCharType="begin"/>
        </w:r>
        <w:r w:rsidR="000640B0">
          <w:rPr>
            <w:noProof/>
            <w:webHidden/>
          </w:rPr>
          <w:instrText xml:space="preserve"> PAGEREF _Toc110516413 \h </w:instrText>
        </w:r>
        <w:r w:rsidR="000640B0">
          <w:rPr>
            <w:noProof/>
            <w:webHidden/>
          </w:rPr>
        </w:r>
        <w:r w:rsidR="000640B0">
          <w:rPr>
            <w:noProof/>
            <w:webHidden/>
          </w:rPr>
          <w:fldChar w:fldCharType="separate"/>
        </w:r>
        <w:r w:rsidR="000640B0">
          <w:rPr>
            <w:noProof/>
            <w:webHidden/>
          </w:rPr>
          <w:t>6</w:t>
        </w:r>
        <w:r w:rsidR="000640B0">
          <w:rPr>
            <w:noProof/>
            <w:webHidden/>
          </w:rPr>
          <w:fldChar w:fldCharType="end"/>
        </w:r>
      </w:hyperlink>
    </w:p>
    <w:p w14:paraId="0EE9EE41" w14:textId="6A25BDFA" w:rsidR="000640B0" w:rsidRDefault="00B77358">
      <w:pPr>
        <w:pStyle w:val="TOC1"/>
        <w:tabs>
          <w:tab w:val="left" w:pos="450"/>
          <w:tab w:val="right" w:leader="dot" w:pos="9350"/>
        </w:tabs>
        <w:rPr>
          <w:rFonts w:eastAsiaTheme="minorEastAsia" w:cstheme="minorBidi"/>
          <w:noProof/>
          <w:sz w:val="24"/>
          <w:lang w:eastAsia="en-GB"/>
        </w:rPr>
      </w:pPr>
      <w:hyperlink w:anchor="_Toc110516414" w:history="1">
        <w:r w:rsidR="000640B0" w:rsidRPr="002E7C1E">
          <w:rPr>
            <w:rStyle w:val="Hyperlink"/>
            <w:noProof/>
          </w:rPr>
          <w:t>2</w:t>
        </w:r>
        <w:r w:rsidR="000640B0">
          <w:rPr>
            <w:rFonts w:eastAsiaTheme="minorEastAsia" w:cstheme="minorBidi"/>
            <w:noProof/>
            <w:sz w:val="24"/>
            <w:lang w:eastAsia="en-GB"/>
          </w:rPr>
          <w:tab/>
        </w:r>
        <w:r w:rsidR="000640B0" w:rsidRPr="002E7C1E">
          <w:rPr>
            <w:rStyle w:val="Hyperlink"/>
            <w:noProof/>
          </w:rPr>
          <w:t>Business Requirements</w:t>
        </w:r>
        <w:r w:rsidR="000640B0">
          <w:rPr>
            <w:noProof/>
            <w:webHidden/>
          </w:rPr>
          <w:tab/>
        </w:r>
        <w:r w:rsidR="000640B0">
          <w:rPr>
            <w:noProof/>
            <w:webHidden/>
          </w:rPr>
          <w:fldChar w:fldCharType="begin"/>
        </w:r>
        <w:r w:rsidR="000640B0">
          <w:rPr>
            <w:noProof/>
            <w:webHidden/>
          </w:rPr>
          <w:instrText xml:space="preserve"> PAGEREF _Toc110516414 \h </w:instrText>
        </w:r>
        <w:r w:rsidR="000640B0">
          <w:rPr>
            <w:noProof/>
            <w:webHidden/>
          </w:rPr>
        </w:r>
        <w:r w:rsidR="000640B0">
          <w:rPr>
            <w:noProof/>
            <w:webHidden/>
          </w:rPr>
          <w:fldChar w:fldCharType="separate"/>
        </w:r>
        <w:r w:rsidR="000640B0">
          <w:rPr>
            <w:noProof/>
            <w:webHidden/>
          </w:rPr>
          <w:t>6</w:t>
        </w:r>
        <w:r w:rsidR="000640B0">
          <w:rPr>
            <w:noProof/>
            <w:webHidden/>
          </w:rPr>
          <w:fldChar w:fldCharType="end"/>
        </w:r>
      </w:hyperlink>
    </w:p>
    <w:p w14:paraId="3F65F194" w14:textId="05421931" w:rsidR="000640B0" w:rsidRDefault="00B77358">
      <w:pPr>
        <w:pStyle w:val="TOC1"/>
        <w:tabs>
          <w:tab w:val="left" w:pos="450"/>
          <w:tab w:val="right" w:leader="dot" w:pos="9350"/>
        </w:tabs>
        <w:rPr>
          <w:rFonts w:eastAsiaTheme="minorEastAsia" w:cstheme="minorBidi"/>
          <w:noProof/>
          <w:sz w:val="24"/>
          <w:lang w:eastAsia="en-GB"/>
        </w:rPr>
      </w:pPr>
      <w:hyperlink w:anchor="_Toc110516415" w:history="1">
        <w:r w:rsidR="000640B0" w:rsidRPr="002E7C1E">
          <w:rPr>
            <w:rStyle w:val="Hyperlink"/>
            <w:noProof/>
          </w:rPr>
          <w:t>3</w:t>
        </w:r>
        <w:r w:rsidR="000640B0">
          <w:rPr>
            <w:rFonts w:eastAsiaTheme="minorEastAsia" w:cstheme="minorBidi"/>
            <w:noProof/>
            <w:sz w:val="24"/>
            <w:lang w:eastAsia="en-GB"/>
          </w:rPr>
          <w:tab/>
        </w:r>
        <w:r w:rsidR="000640B0" w:rsidRPr="002E7C1E">
          <w:rPr>
            <w:rStyle w:val="Hyperlink"/>
            <w:noProof/>
          </w:rPr>
          <w:t>Issues and Discussion Points</w:t>
        </w:r>
        <w:r w:rsidR="000640B0">
          <w:rPr>
            <w:noProof/>
            <w:webHidden/>
          </w:rPr>
          <w:tab/>
        </w:r>
        <w:r w:rsidR="000640B0">
          <w:rPr>
            <w:noProof/>
            <w:webHidden/>
          </w:rPr>
          <w:fldChar w:fldCharType="begin"/>
        </w:r>
        <w:r w:rsidR="000640B0">
          <w:rPr>
            <w:noProof/>
            <w:webHidden/>
          </w:rPr>
          <w:instrText xml:space="preserve"> PAGEREF _Toc110516415 \h </w:instrText>
        </w:r>
        <w:r w:rsidR="000640B0">
          <w:rPr>
            <w:noProof/>
            <w:webHidden/>
          </w:rPr>
        </w:r>
        <w:r w:rsidR="000640B0">
          <w:rPr>
            <w:noProof/>
            <w:webHidden/>
          </w:rPr>
          <w:fldChar w:fldCharType="separate"/>
        </w:r>
        <w:r w:rsidR="000640B0">
          <w:rPr>
            <w:noProof/>
            <w:webHidden/>
          </w:rPr>
          <w:t>6</w:t>
        </w:r>
        <w:r w:rsidR="000640B0">
          <w:rPr>
            <w:noProof/>
            <w:webHidden/>
          </w:rPr>
          <w:fldChar w:fldCharType="end"/>
        </w:r>
      </w:hyperlink>
    </w:p>
    <w:p w14:paraId="44F19CEC" w14:textId="79479229" w:rsidR="000640B0" w:rsidRDefault="00B77358">
      <w:pPr>
        <w:pStyle w:val="TOC1"/>
        <w:tabs>
          <w:tab w:val="left" w:pos="450"/>
          <w:tab w:val="right" w:leader="dot" w:pos="9350"/>
        </w:tabs>
        <w:rPr>
          <w:rFonts w:eastAsiaTheme="minorEastAsia" w:cstheme="minorBidi"/>
          <w:noProof/>
          <w:sz w:val="24"/>
          <w:lang w:eastAsia="en-GB"/>
        </w:rPr>
      </w:pPr>
      <w:hyperlink w:anchor="_Toc110516416" w:history="1">
        <w:r w:rsidR="000640B0" w:rsidRPr="002E7C1E">
          <w:rPr>
            <w:rStyle w:val="Hyperlink"/>
            <w:noProof/>
          </w:rPr>
          <w:t>4</w:t>
        </w:r>
        <w:r w:rsidR="000640B0">
          <w:rPr>
            <w:rFonts w:eastAsiaTheme="minorEastAsia" w:cstheme="minorBidi"/>
            <w:noProof/>
            <w:sz w:val="24"/>
            <w:lang w:eastAsia="en-GB"/>
          </w:rPr>
          <w:tab/>
        </w:r>
        <w:r w:rsidR="000640B0" w:rsidRPr="002E7C1E">
          <w:rPr>
            <w:rStyle w:val="Hyperlink"/>
            <w:noProof/>
          </w:rPr>
          <w:t>Proposed Message Flow</w:t>
        </w:r>
        <w:r w:rsidR="000640B0">
          <w:rPr>
            <w:noProof/>
            <w:webHidden/>
          </w:rPr>
          <w:tab/>
        </w:r>
        <w:r w:rsidR="000640B0">
          <w:rPr>
            <w:noProof/>
            <w:webHidden/>
          </w:rPr>
          <w:fldChar w:fldCharType="begin"/>
        </w:r>
        <w:r w:rsidR="000640B0">
          <w:rPr>
            <w:noProof/>
            <w:webHidden/>
          </w:rPr>
          <w:instrText xml:space="preserve"> PAGEREF _Toc110516416 \h </w:instrText>
        </w:r>
        <w:r w:rsidR="000640B0">
          <w:rPr>
            <w:noProof/>
            <w:webHidden/>
          </w:rPr>
        </w:r>
        <w:r w:rsidR="000640B0">
          <w:rPr>
            <w:noProof/>
            <w:webHidden/>
          </w:rPr>
          <w:fldChar w:fldCharType="separate"/>
        </w:r>
        <w:r w:rsidR="000640B0">
          <w:rPr>
            <w:noProof/>
            <w:webHidden/>
          </w:rPr>
          <w:t>6</w:t>
        </w:r>
        <w:r w:rsidR="000640B0">
          <w:rPr>
            <w:noProof/>
            <w:webHidden/>
          </w:rPr>
          <w:fldChar w:fldCharType="end"/>
        </w:r>
      </w:hyperlink>
    </w:p>
    <w:p w14:paraId="041DE1A1" w14:textId="3B6CA6AE" w:rsidR="000640B0" w:rsidRDefault="00B77358">
      <w:pPr>
        <w:pStyle w:val="TOC1"/>
        <w:tabs>
          <w:tab w:val="left" w:pos="450"/>
          <w:tab w:val="right" w:leader="dot" w:pos="9350"/>
        </w:tabs>
        <w:rPr>
          <w:rFonts w:eastAsiaTheme="minorEastAsia" w:cstheme="minorBidi"/>
          <w:noProof/>
          <w:sz w:val="24"/>
          <w:lang w:eastAsia="en-GB"/>
        </w:rPr>
      </w:pPr>
      <w:hyperlink w:anchor="_Toc110516417" w:history="1">
        <w:r w:rsidR="000640B0" w:rsidRPr="002E7C1E">
          <w:rPr>
            <w:rStyle w:val="Hyperlink"/>
            <w:noProof/>
          </w:rPr>
          <w:t>5</w:t>
        </w:r>
        <w:r w:rsidR="000640B0">
          <w:rPr>
            <w:rFonts w:eastAsiaTheme="minorEastAsia" w:cstheme="minorBidi"/>
            <w:noProof/>
            <w:sz w:val="24"/>
            <w:lang w:eastAsia="en-GB"/>
          </w:rPr>
          <w:tab/>
        </w:r>
        <w:r w:rsidR="000640B0" w:rsidRPr="002E7C1E">
          <w:rPr>
            <w:rStyle w:val="Hyperlink"/>
            <w:noProof/>
          </w:rPr>
          <w:t>FIX Message Tables</w:t>
        </w:r>
        <w:r w:rsidR="000640B0">
          <w:rPr>
            <w:noProof/>
            <w:webHidden/>
          </w:rPr>
          <w:tab/>
        </w:r>
        <w:r w:rsidR="000640B0">
          <w:rPr>
            <w:noProof/>
            <w:webHidden/>
          </w:rPr>
          <w:fldChar w:fldCharType="begin"/>
        </w:r>
        <w:r w:rsidR="000640B0">
          <w:rPr>
            <w:noProof/>
            <w:webHidden/>
          </w:rPr>
          <w:instrText xml:space="preserve"> PAGEREF _Toc110516417 \h </w:instrText>
        </w:r>
        <w:r w:rsidR="000640B0">
          <w:rPr>
            <w:noProof/>
            <w:webHidden/>
          </w:rPr>
        </w:r>
        <w:r w:rsidR="000640B0">
          <w:rPr>
            <w:noProof/>
            <w:webHidden/>
          </w:rPr>
          <w:fldChar w:fldCharType="separate"/>
        </w:r>
        <w:r w:rsidR="000640B0">
          <w:rPr>
            <w:noProof/>
            <w:webHidden/>
          </w:rPr>
          <w:t>7</w:t>
        </w:r>
        <w:r w:rsidR="000640B0">
          <w:rPr>
            <w:noProof/>
            <w:webHidden/>
          </w:rPr>
          <w:fldChar w:fldCharType="end"/>
        </w:r>
      </w:hyperlink>
    </w:p>
    <w:p w14:paraId="09659371" w14:textId="28EF6120" w:rsidR="000640B0" w:rsidRDefault="00B77358">
      <w:pPr>
        <w:pStyle w:val="TOC2"/>
        <w:rPr>
          <w:rFonts w:eastAsiaTheme="minorEastAsia" w:cstheme="minorBidi"/>
          <w:sz w:val="24"/>
          <w:lang w:eastAsia="en-GB"/>
        </w:rPr>
      </w:pPr>
      <w:hyperlink w:anchor="_Toc110516418" w:history="1">
        <w:r w:rsidR="000640B0" w:rsidRPr="002E7C1E">
          <w:rPr>
            <w:rStyle w:val="Hyperlink"/>
          </w:rPr>
          <w:t>5.1</w:t>
        </w:r>
        <w:r w:rsidR="000640B0">
          <w:rPr>
            <w:rFonts w:eastAsiaTheme="minorEastAsia" w:cstheme="minorBidi"/>
            <w:sz w:val="24"/>
            <w:lang w:eastAsia="en-GB"/>
          </w:rPr>
          <w:tab/>
        </w:r>
        <w:r w:rsidR="000640B0" w:rsidRPr="002E7C1E">
          <w:rPr>
            <w:rStyle w:val="Hyperlink"/>
          </w:rPr>
          <w:t>ExecutionReport(35=8)</w:t>
        </w:r>
        <w:r w:rsidR="000640B0">
          <w:rPr>
            <w:webHidden/>
          </w:rPr>
          <w:tab/>
        </w:r>
        <w:r w:rsidR="000640B0">
          <w:rPr>
            <w:webHidden/>
          </w:rPr>
          <w:fldChar w:fldCharType="begin"/>
        </w:r>
        <w:r w:rsidR="000640B0">
          <w:rPr>
            <w:webHidden/>
          </w:rPr>
          <w:instrText xml:space="preserve"> PAGEREF _Toc110516418 \h </w:instrText>
        </w:r>
        <w:r w:rsidR="000640B0">
          <w:rPr>
            <w:webHidden/>
          </w:rPr>
        </w:r>
        <w:r w:rsidR="000640B0">
          <w:rPr>
            <w:webHidden/>
          </w:rPr>
          <w:fldChar w:fldCharType="separate"/>
        </w:r>
        <w:r w:rsidR="000640B0">
          <w:rPr>
            <w:webHidden/>
          </w:rPr>
          <w:t>7</w:t>
        </w:r>
        <w:r w:rsidR="000640B0">
          <w:rPr>
            <w:webHidden/>
          </w:rPr>
          <w:fldChar w:fldCharType="end"/>
        </w:r>
      </w:hyperlink>
    </w:p>
    <w:p w14:paraId="18D60123" w14:textId="7AB8DC68" w:rsidR="000640B0" w:rsidRDefault="00B77358">
      <w:pPr>
        <w:pStyle w:val="TOC2"/>
        <w:rPr>
          <w:rFonts w:eastAsiaTheme="minorEastAsia" w:cstheme="minorBidi"/>
          <w:sz w:val="24"/>
          <w:lang w:eastAsia="en-GB"/>
        </w:rPr>
      </w:pPr>
      <w:hyperlink w:anchor="_Toc110516419" w:history="1">
        <w:r w:rsidR="000640B0" w:rsidRPr="002E7C1E">
          <w:rPr>
            <w:rStyle w:val="Hyperlink"/>
          </w:rPr>
          <w:t>5.2</w:t>
        </w:r>
        <w:r w:rsidR="000640B0">
          <w:rPr>
            <w:rFonts w:eastAsiaTheme="minorEastAsia" w:cstheme="minorBidi"/>
            <w:sz w:val="24"/>
            <w:lang w:eastAsia="en-GB"/>
          </w:rPr>
          <w:tab/>
        </w:r>
        <w:r w:rsidR="000640B0" w:rsidRPr="002E7C1E">
          <w:rPr>
            <w:rStyle w:val="Hyperlink"/>
          </w:rPr>
          <w:t>TradeCaptureReport(35=AE)</w:t>
        </w:r>
        <w:r w:rsidR="000640B0">
          <w:rPr>
            <w:webHidden/>
          </w:rPr>
          <w:tab/>
        </w:r>
        <w:r w:rsidR="000640B0">
          <w:rPr>
            <w:webHidden/>
          </w:rPr>
          <w:fldChar w:fldCharType="begin"/>
        </w:r>
        <w:r w:rsidR="000640B0">
          <w:rPr>
            <w:webHidden/>
          </w:rPr>
          <w:instrText xml:space="preserve"> PAGEREF _Toc110516419 \h </w:instrText>
        </w:r>
        <w:r w:rsidR="000640B0">
          <w:rPr>
            <w:webHidden/>
          </w:rPr>
        </w:r>
        <w:r w:rsidR="000640B0">
          <w:rPr>
            <w:webHidden/>
          </w:rPr>
          <w:fldChar w:fldCharType="separate"/>
        </w:r>
        <w:r w:rsidR="000640B0">
          <w:rPr>
            <w:webHidden/>
          </w:rPr>
          <w:t>8</w:t>
        </w:r>
        <w:r w:rsidR="000640B0">
          <w:rPr>
            <w:webHidden/>
          </w:rPr>
          <w:fldChar w:fldCharType="end"/>
        </w:r>
      </w:hyperlink>
    </w:p>
    <w:p w14:paraId="64F66033" w14:textId="0510B775" w:rsidR="000640B0" w:rsidRDefault="00B77358">
      <w:pPr>
        <w:pStyle w:val="TOC1"/>
        <w:tabs>
          <w:tab w:val="left" w:pos="450"/>
          <w:tab w:val="right" w:leader="dot" w:pos="9350"/>
        </w:tabs>
        <w:rPr>
          <w:rFonts w:eastAsiaTheme="minorEastAsia" w:cstheme="minorBidi"/>
          <w:noProof/>
          <w:sz w:val="24"/>
          <w:lang w:eastAsia="en-GB"/>
        </w:rPr>
      </w:pPr>
      <w:hyperlink w:anchor="_Toc110516420" w:history="1">
        <w:r w:rsidR="000640B0" w:rsidRPr="002E7C1E">
          <w:rPr>
            <w:rStyle w:val="Hyperlink"/>
            <w:noProof/>
          </w:rPr>
          <w:t>6</w:t>
        </w:r>
        <w:r w:rsidR="000640B0">
          <w:rPr>
            <w:rFonts w:eastAsiaTheme="minorEastAsia" w:cstheme="minorBidi"/>
            <w:noProof/>
            <w:sz w:val="24"/>
            <w:lang w:eastAsia="en-GB"/>
          </w:rPr>
          <w:tab/>
        </w:r>
        <w:r w:rsidR="000640B0" w:rsidRPr="002E7C1E">
          <w:rPr>
            <w:rStyle w:val="Hyperlink"/>
            <w:noProof/>
          </w:rPr>
          <w:t>FIX Component Blocks</w:t>
        </w:r>
        <w:r w:rsidR="000640B0">
          <w:rPr>
            <w:noProof/>
            <w:webHidden/>
          </w:rPr>
          <w:tab/>
        </w:r>
        <w:r w:rsidR="000640B0">
          <w:rPr>
            <w:noProof/>
            <w:webHidden/>
          </w:rPr>
          <w:fldChar w:fldCharType="begin"/>
        </w:r>
        <w:r w:rsidR="000640B0">
          <w:rPr>
            <w:noProof/>
            <w:webHidden/>
          </w:rPr>
          <w:instrText xml:space="preserve"> PAGEREF _Toc110516420 \h </w:instrText>
        </w:r>
        <w:r w:rsidR="000640B0">
          <w:rPr>
            <w:noProof/>
            <w:webHidden/>
          </w:rPr>
        </w:r>
        <w:r w:rsidR="000640B0">
          <w:rPr>
            <w:noProof/>
            <w:webHidden/>
          </w:rPr>
          <w:fldChar w:fldCharType="separate"/>
        </w:r>
        <w:r w:rsidR="000640B0">
          <w:rPr>
            <w:noProof/>
            <w:webHidden/>
          </w:rPr>
          <w:t>9</w:t>
        </w:r>
        <w:r w:rsidR="000640B0">
          <w:rPr>
            <w:noProof/>
            <w:webHidden/>
          </w:rPr>
          <w:fldChar w:fldCharType="end"/>
        </w:r>
      </w:hyperlink>
    </w:p>
    <w:p w14:paraId="5AD55F1D" w14:textId="45C085CC" w:rsidR="000640B0" w:rsidRDefault="00B77358">
      <w:pPr>
        <w:pStyle w:val="TOC2"/>
        <w:rPr>
          <w:rFonts w:eastAsiaTheme="minorEastAsia" w:cstheme="minorBidi"/>
          <w:sz w:val="24"/>
          <w:lang w:eastAsia="en-GB"/>
        </w:rPr>
      </w:pPr>
      <w:hyperlink w:anchor="_Toc110516421" w:history="1">
        <w:r w:rsidR="000640B0" w:rsidRPr="002E7C1E">
          <w:rPr>
            <w:rStyle w:val="Hyperlink"/>
          </w:rPr>
          <w:t>6.1</w:t>
        </w:r>
        <w:r w:rsidR="000640B0">
          <w:rPr>
            <w:rFonts w:eastAsiaTheme="minorEastAsia" w:cstheme="minorBidi"/>
            <w:sz w:val="24"/>
            <w:lang w:eastAsia="en-GB"/>
          </w:rPr>
          <w:tab/>
        </w:r>
        <w:r w:rsidR="000640B0" w:rsidRPr="002E7C1E">
          <w:rPr>
            <w:rStyle w:val="Hyperlink"/>
          </w:rPr>
          <w:t>Component MDFullGrp</w:t>
        </w:r>
        <w:r w:rsidR="000640B0">
          <w:rPr>
            <w:webHidden/>
          </w:rPr>
          <w:tab/>
        </w:r>
        <w:r w:rsidR="000640B0">
          <w:rPr>
            <w:webHidden/>
          </w:rPr>
          <w:fldChar w:fldCharType="begin"/>
        </w:r>
        <w:r w:rsidR="000640B0">
          <w:rPr>
            <w:webHidden/>
          </w:rPr>
          <w:instrText xml:space="preserve"> PAGEREF _Toc110516421 \h </w:instrText>
        </w:r>
        <w:r w:rsidR="000640B0">
          <w:rPr>
            <w:webHidden/>
          </w:rPr>
        </w:r>
        <w:r w:rsidR="000640B0">
          <w:rPr>
            <w:webHidden/>
          </w:rPr>
          <w:fldChar w:fldCharType="separate"/>
        </w:r>
        <w:r w:rsidR="000640B0">
          <w:rPr>
            <w:webHidden/>
          </w:rPr>
          <w:t>9</w:t>
        </w:r>
        <w:r w:rsidR="000640B0">
          <w:rPr>
            <w:webHidden/>
          </w:rPr>
          <w:fldChar w:fldCharType="end"/>
        </w:r>
      </w:hyperlink>
    </w:p>
    <w:p w14:paraId="46AECC87" w14:textId="706D7201" w:rsidR="000640B0" w:rsidRDefault="00B77358">
      <w:pPr>
        <w:pStyle w:val="TOC2"/>
        <w:rPr>
          <w:rFonts w:eastAsiaTheme="minorEastAsia" w:cstheme="minorBidi"/>
          <w:sz w:val="24"/>
          <w:lang w:eastAsia="en-GB"/>
        </w:rPr>
      </w:pPr>
      <w:hyperlink w:anchor="_Toc110516422" w:history="1">
        <w:r w:rsidR="000640B0" w:rsidRPr="002E7C1E">
          <w:rPr>
            <w:rStyle w:val="Hyperlink"/>
          </w:rPr>
          <w:t>6.2</w:t>
        </w:r>
        <w:r w:rsidR="000640B0">
          <w:rPr>
            <w:rFonts w:eastAsiaTheme="minorEastAsia" w:cstheme="minorBidi"/>
            <w:sz w:val="24"/>
            <w:lang w:eastAsia="en-GB"/>
          </w:rPr>
          <w:tab/>
        </w:r>
        <w:r w:rsidR="000640B0" w:rsidRPr="002E7C1E">
          <w:rPr>
            <w:rStyle w:val="Hyperlink"/>
          </w:rPr>
          <w:t>Component MDIncGrp</w:t>
        </w:r>
        <w:r w:rsidR="000640B0">
          <w:rPr>
            <w:webHidden/>
          </w:rPr>
          <w:tab/>
        </w:r>
        <w:r w:rsidR="000640B0">
          <w:rPr>
            <w:webHidden/>
          </w:rPr>
          <w:fldChar w:fldCharType="begin"/>
        </w:r>
        <w:r w:rsidR="000640B0">
          <w:rPr>
            <w:webHidden/>
          </w:rPr>
          <w:instrText xml:space="preserve"> PAGEREF _Toc110516422 \h </w:instrText>
        </w:r>
        <w:r w:rsidR="000640B0">
          <w:rPr>
            <w:webHidden/>
          </w:rPr>
        </w:r>
        <w:r w:rsidR="000640B0">
          <w:rPr>
            <w:webHidden/>
          </w:rPr>
          <w:fldChar w:fldCharType="separate"/>
        </w:r>
        <w:r w:rsidR="000640B0">
          <w:rPr>
            <w:webHidden/>
          </w:rPr>
          <w:t>10</w:t>
        </w:r>
        <w:r w:rsidR="000640B0">
          <w:rPr>
            <w:webHidden/>
          </w:rPr>
          <w:fldChar w:fldCharType="end"/>
        </w:r>
      </w:hyperlink>
    </w:p>
    <w:p w14:paraId="3AE92D96" w14:textId="30ADA30A" w:rsidR="000640B0" w:rsidRDefault="00B77358">
      <w:pPr>
        <w:pStyle w:val="TOC1"/>
        <w:tabs>
          <w:tab w:val="left" w:pos="450"/>
          <w:tab w:val="right" w:leader="dot" w:pos="9350"/>
        </w:tabs>
        <w:rPr>
          <w:rFonts w:eastAsiaTheme="minorEastAsia" w:cstheme="minorBidi"/>
          <w:noProof/>
          <w:sz w:val="24"/>
          <w:lang w:eastAsia="en-GB"/>
        </w:rPr>
      </w:pPr>
      <w:hyperlink w:anchor="_Toc110516423" w:history="1">
        <w:r w:rsidR="000640B0" w:rsidRPr="002E7C1E">
          <w:rPr>
            <w:rStyle w:val="Hyperlink"/>
            <w:noProof/>
          </w:rPr>
          <w:t>7</w:t>
        </w:r>
        <w:r w:rsidR="000640B0">
          <w:rPr>
            <w:rFonts w:eastAsiaTheme="minorEastAsia" w:cstheme="minorBidi"/>
            <w:noProof/>
            <w:sz w:val="24"/>
            <w:lang w:eastAsia="en-GB"/>
          </w:rPr>
          <w:tab/>
        </w:r>
        <w:r w:rsidR="000640B0" w:rsidRPr="002E7C1E">
          <w:rPr>
            <w:rStyle w:val="Hyperlink"/>
            <w:noProof/>
          </w:rPr>
          <w:t>Category Changes</w:t>
        </w:r>
        <w:r w:rsidR="000640B0">
          <w:rPr>
            <w:noProof/>
            <w:webHidden/>
          </w:rPr>
          <w:tab/>
        </w:r>
        <w:r w:rsidR="000640B0">
          <w:rPr>
            <w:noProof/>
            <w:webHidden/>
          </w:rPr>
          <w:fldChar w:fldCharType="begin"/>
        </w:r>
        <w:r w:rsidR="000640B0">
          <w:rPr>
            <w:noProof/>
            <w:webHidden/>
          </w:rPr>
          <w:instrText xml:space="preserve"> PAGEREF _Toc110516423 \h </w:instrText>
        </w:r>
        <w:r w:rsidR="000640B0">
          <w:rPr>
            <w:noProof/>
            <w:webHidden/>
          </w:rPr>
        </w:r>
        <w:r w:rsidR="000640B0">
          <w:rPr>
            <w:noProof/>
            <w:webHidden/>
          </w:rPr>
          <w:fldChar w:fldCharType="separate"/>
        </w:r>
        <w:r w:rsidR="000640B0">
          <w:rPr>
            <w:noProof/>
            <w:webHidden/>
          </w:rPr>
          <w:t>10</w:t>
        </w:r>
        <w:r w:rsidR="000640B0">
          <w:rPr>
            <w:noProof/>
            <w:webHidden/>
          </w:rPr>
          <w:fldChar w:fldCharType="end"/>
        </w:r>
      </w:hyperlink>
    </w:p>
    <w:p w14:paraId="1E86A577" w14:textId="7339DC4A" w:rsidR="000640B0" w:rsidRDefault="00B77358">
      <w:pPr>
        <w:pStyle w:val="TOC1"/>
        <w:tabs>
          <w:tab w:val="right" w:leader="dot" w:pos="9350"/>
        </w:tabs>
        <w:rPr>
          <w:rFonts w:eastAsiaTheme="minorEastAsia" w:cstheme="minorBidi"/>
          <w:noProof/>
          <w:sz w:val="24"/>
          <w:lang w:eastAsia="en-GB"/>
        </w:rPr>
      </w:pPr>
      <w:hyperlink w:anchor="_Toc110516424" w:history="1">
        <w:r w:rsidR="000640B0" w:rsidRPr="002E7C1E">
          <w:rPr>
            <w:rStyle w:val="Hyperlink"/>
            <w:noProof/>
          </w:rPr>
          <w:t>Appendix A - Data Dictionary</w:t>
        </w:r>
        <w:r w:rsidR="000640B0">
          <w:rPr>
            <w:noProof/>
            <w:webHidden/>
          </w:rPr>
          <w:tab/>
        </w:r>
        <w:r w:rsidR="000640B0">
          <w:rPr>
            <w:noProof/>
            <w:webHidden/>
          </w:rPr>
          <w:fldChar w:fldCharType="begin"/>
        </w:r>
        <w:r w:rsidR="000640B0">
          <w:rPr>
            <w:noProof/>
            <w:webHidden/>
          </w:rPr>
          <w:instrText xml:space="preserve"> PAGEREF _Toc110516424 \h </w:instrText>
        </w:r>
        <w:r w:rsidR="000640B0">
          <w:rPr>
            <w:noProof/>
            <w:webHidden/>
          </w:rPr>
        </w:r>
        <w:r w:rsidR="000640B0">
          <w:rPr>
            <w:noProof/>
            <w:webHidden/>
          </w:rPr>
          <w:fldChar w:fldCharType="separate"/>
        </w:r>
        <w:r w:rsidR="000640B0">
          <w:rPr>
            <w:noProof/>
            <w:webHidden/>
          </w:rPr>
          <w:t>11</w:t>
        </w:r>
        <w:r w:rsidR="000640B0">
          <w:rPr>
            <w:noProof/>
            <w:webHidden/>
          </w:rPr>
          <w:fldChar w:fldCharType="end"/>
        </w:r>
      </w:hyperlink>
    </w:p>
    <w:p w14:paraId="2E869522" w14:textId="6035E760" w:rsidR="000640B0" w:rsidRDefault="00B77358">
      <w:pPr>
        <w:pStyle w:val="TOC1"/>
        <w:tabs>
          <w:tab w:val="right" w:leader="dot" w:pos="9350"/>
        </w:tabs>
        <w:rPr>
          <w:rFonts w:eastAsiaTheme="minorEastAsia" w:cstheme="minorBidi"/>
          <w:noProof/>
          <w:sz w:val="24"/>
          <w:lang w:eastAsia="en-GB"/>
        </w:rPr>
      </w:pPr>
      <w:hyperlink w:anchor="_Toc110516425" w:history="1">
        <w:r w:rsidR="000640B0" w:rsidRPr="002E7C1E">
          <w:rPr>
            <w:rStyle w:val="Hyperlink"/>
            <w:noProof/>
          </w:rPr>
          <w:t>Appendix B - Glossary Entries</w:t>
        </w:r>
        <w:r w:rsidR="000640B0">
          <w:rPr>
            <w:noProof/>
            <w:webHidden/>
          </w:rPr>
          <w:tab/>
        </w:r>
        <w:r w:rsidR="000640B0">
          <w:rPr>
            <w:noProof/>
            <w:webHidden/>
          </w:rPr>
          <w:fldChar w:fldCharType="begin"/>
        </w:r>
        <w:r w:rsidR="000640B0">
          <w:rPr>
            <w:noProof/>
            <w:webHidden/>
          </w:rPr>
          <w:instrText xml:space="preserve"> PAGEREF _Toc110516425 \h </w:instrText>
        </w:r>
        <w:r w:rsidR="000640B0">
          <w:rPr>
            <w:noProof/>
            <w:webHidden/>
          </w:rPr>
        </w:r>
        <w:r w:rsidR="000640B0">
          <w:rPr>
            <w:noProof/>
            <w:webHidden/>
          </w:rPr>
          <w:fldChar w:fldCharType="separate"/>
        </w:r>
        <w:r w:rsidR="000640B0">
          <w:rPr>
            <w:noProof/>
            <w:webHidden/>
          </w:rPr>
          <w:t>12</w:t>
        </w:r>
        <w:r w:rsidR="000640B0">
          <w:rPr>
            <w:noProof/>
            <w:webHidden/>
          </w:rPr>
          <w:fldChar w:fldCharType="end"/>
        </w:r>
      </w:hyperlink>
    </w:p>
    <w:p w14:paraId="7C13F717" w14:textId="0E0E406D" w:rsidR="000640B0" w:rsidRDefault="00B77358">
      <w:pPr>
        <w:pStyle w:val="TOC1"/>
        <w:tabs>
          <w:tab w:val="right" w:leader="dot" w:pos="9350"/>
        </w:tabs>
        <w:rPr>
          <w:rFonts w:eastAsiaTheme="minorEastAsia" w:cstheme="minorBidi"/>
          <w:noProof/>
          <w:sz w:val="24"/>
          <w:lang w:eastAsia="en-GB"/>
        </w:rPr>
      </w:pPr>
      <w:hyperlink w:anchor="_Toc110516426" w:history="1">
        <w:r w:rsidR="000640B0" w:rsidRPr="002E7C1E">
          <w:rPr>
            <w:rStyle w:val="Hyperlink"/>
            <w:noProof/>
          </w:rPr>
          <w:t>Appendix C - Abbreviations</w:t>
        </w:r>
        <w:r w:rsidR="000640B0">
          <w:rPr>
            <w:noProof/>
            <w:webHidden/>
          </w:rPr>
          <w:tab/>
        </w:r>
        <w:r w:rsidR="000640B0">
          <w:rPr>
            <w:noProof/>
            <w:webHidden/>
          </w:rPr>
          <w:fldChar w:fldCharType="begin"/>
        </w:r>
        <w:r w:rsidR="000640B0">
          <w:rPr>
            <w:noProof/>
            <w:webHidden/>
          </w:rPr>
          <w:instrText xml:space="preserve"> PAGEREF _Toc110516426 \h </w:instrText>
        </w:r>
        <w:r w:rsidR="000640B0">
          <w:rPr>
            <w:noProof/>
            <w:webHidden/>
          </w:rPr>
        </w:r>
        <w:r w:rsidR="000640B0">
          <w:rPr>
            <w:noProof/>
            <w:webHidden/>
          </w:rPr>
          <w:fldChar w:fldCharType="separate"/>
        </w:r>
        <w:r w:rsidR="000640B0">
          <w:rPr>
            <w:noProof/>
            <w:webHidden/>
          </w:rPr>
          <w:t>12</w:t>
        </w:r>
        <w:r w:rsidR="000640B0">
          <w:rPr>
            <w:noProof/>
            <w:webHidden/>
          </w:rPr>
          <w:fldChar w:fldCharType="end"/>
        </w:r>
      </w:hyperlink>
    </w:p>
    <w:p w14:paraId="24FB20F9" w14:textId="373DEE36" w:rsidR="000640B0" w:rsidRDefault="00B77358">
      <w:pPr>
        <w:pStyle w:val="TOC1"/>
        <w:tabs>
          <w:tab w:val="right" w:leader="dot" w:pos="9350"/>
        </w:tabs>
        <w:rPr>
          <w:rFonts w:eastAsiaTheme="minorEastAsia" w:cstheme="minorBidi"/>
          <w:noProof/>
          <w:sz w:val="24"/>
          <w:lang w:eastAsia="en-GB"/>
        </w:rPr>
      </w:pPr>
      <w:hyperlink w:anchor="_Toc110516427" w:history="1">
        <w:r w:rsidR="000640B0" w:rsidRPr="002E7C1E">
          <w:rPr>
            <w:rStyle w:val="Hyperlink"/>
            <w:noProof/>
          </w:rPr>
          <w:t>Appendix D - Usage Examples</w:t>
        </w:r>
        <w:r w:rsidR="000640B0">
          <w:rPr>
            <w:noProof/>
            <w:webHidden/>
          </w:rPr>
          <w:tab/>
        </w:r>
        <w:r w:rsidR="000640B0">
          <w:rPr>
            <w:noProof/>
            <w:webHidden/>
          </w:rPr>
          <w:fldChar w:fldCharType="begin"/>
        </w:r>
        <w:r w:rsidR="000640B0">
          <w:rPr>
            <w:noProof/>
            <w:webHidden/>
          </w:rPr>
          <w:instrText xml:space="preserve"> PAGEREF _Toc110516427 \h </w:instrText>
        </w:r>
        <w:r w:rsidR="000640B0">
          <w:rPr>
            <w:noProof/>
            <w:webHidden/>
          </w:rPr>
        </w:r>
        <w:r w:rsidR="000640B0">
          <w:rPr>
            <w:noProof/>
            <w:webHidden/>
          </w:rPr>
          <w:fldChar w:fldCharType="separate"/>
        </w:r>
        <w:r w:rsidR="000640B0">
          <w:rPr>
            <w:noProof/>
            <w:webHidden/>
          </w:rPr>
          <w:t>12</w:t>
        </w:r>
        <w:r w:rsidR="000640B0">
          <w:rPr>
            <w:noProof/>
            <w:webHidden/>
          </w:rPr>
          <w:fldChar w:fldCharType="end"/>
        </w:r>
      </w:hyperlink>
    </w:p>
    <w:p w14:paraId="638D98FA" w14:textId="512CAE6C"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Default="0031072B" w:rsidP="00F12DC4">
      <w:pPr>
        <w:pStyle w:val="BodyText"/>
      </w:pPr>
    </w:p>
    <w:p w14:paraId="5502B2EE" w14:textId="77777777" w:rsidR="00F12DC4" w:rsidRPr="0031072B" w:rsidRDefault="00F12DC4" w:rsidP="00F12DC4">
      <w:pPr>
        <w:pStyle w:val="BodyText"/>
      </w:pPr>
    </w:p>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110516412"/>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066AEB33" w:rsidR="00595D9C" w:rsidRDefault="00E56E06" w:rsidP="001224E5">
            <w:pPr>
              <w:pStyle w:val="BodyText"/>
            </w:pPr>
            <w:r>
              <w:t>v0.1</w:t>
            </w:r>
          </w:p>
        </w:tc>
        <w:tc>
          <w:tcPr>
            <w:tcW w:w="1440" w:type="dxa"/>
            <w:tcBorders>
              <w:top w:val="nil"/>
            </w:tcBorders>
          </w:tcPr>
          <w:p w14:paraId="051B581E" w14:textId="5B8B3C56" w:rsidR="00595D9C" w:rsidRDefault="00222A69" w:rsidP="001224E5">
            <w:pPr>
              <w:pStyle w:val="BodyText"/>
            </w:pPr>
            <w:r>
              <w:t>August 11, 2022</w:t>
            </w:r>
          </w:p>
        </w:tc>
        <w:tc>
          <w:tcPr>
            <w:tcW w:w="2520" w:type="dxa"/>
            <w:tcBorders>
              <w:top w:val="nil"/>
            </w:tcBorders>
          </w:tcPr>
          <w:p w14:paraId="051029C7" w14:textId="41FEB2E7" w:rsidR="00595D9C" w:rsidRDefault="00222A69" w:rsidP="001224E5">
            <w:pPr>
              <w:pStyle w:val="BodyText"/>
            </w:pPr>
            <w:r>
              <w:t>GTC PM</w:t>
            </w:r>
          </w:p>
        </w:tc>
        <w:tc>
          <w:tcPr>
            <w:tcW w:w="4410" w:type="dxa"/>
            <w:tcBorders>
              <w:top w:val="nil"/>
            </w:tcBorders>
          </w:tcPr>
          <w:p w14:paraId="581F7795" w14:textId="1F538457" w:rsidR="00595D9C" w:rsidRDefault="00E56E06" w:rsidP="001224E5">
            <w:pPr>
              <w:pStyle w:val="BodyText"/>
            </w:pPr>
            <w:r>
              <w:t>Initial draft</w:t>
            </w:r>
          </w:p>
        </w:tc>
      </w:tr>
      <w:tr w:rsidR="00595D9C" w14:paraId="78D9DFE5" w14:textId="77777777" w:rsidTr="004C5FAF">
        <w:tc>
          <w:tcPr>
            <w:tcW w:w="1188" w:type="dxa"/>
          </w:tcPr>
          <w:p w14:paraId="63568DDA" w14:textId="4868C6C7" w:rsidR="00595D9C" w:rsidRDefault="00BB752B" w:rsidP="001224E5">
            <w:pPr>
              <w:pStyle w:val="BodyText"/>
            </w:pPr>
            <w:r>
              <w:t>v0.2</w:t>
            </w:r>
          </w:p>
        </w:tc>
        <w:tc>
          <w:tcPr>
            <w:tcW w:w="1440" w:type="dxa"/>
          </w:tcPr>
          <w:p w14:paraId="0A8CCC20" w14:textId="3CC864D1" w:rsidR="00595D9C" w:rsidRDefault="00BB752B" w:rsidP="001224E5">
            <w:pPr>
              <w:pStyle w:val="BodyText"/>
            </w:pPr>
            <w:r>
              <w:t>August 15, 2022</w:t>
            </w:r>
          </w:p>
        </w:tc>
        <w:tc>
          <w:tcPr>
            <w:tcW w:w="2520" w:type="dxa"/>
          </w:tcPr>
          <w:p w14:paraId="567F98A1" w14:textId="6ED08B27" w:rsidR="00595D9C" w:rsidRDefault="00BB752B" w:rsidP="001224E5">
            <w:pPr>
              <w:pStyle w:val="BodyText"/>
            </w:pPr>
            <w:r>
              <w:t>GTC PM</w:t>
            </w:r>
          </w:p>
        </w:tc>
        <w:tc>
          <w:tcPr>
            <w:tcW w:w="4410" w:type="dxa"/>
          </w:tcPr>
          <w:p w14:paraId="780F2A62" w14:textId="72E57947" w:rsidR="00445FCC" w:rsidRDefault="00BB752B" w:rsidP="001224E5">
            <w:pPr>
              <w:pStyle w:val="BodyText"/>
            </w:pPr>
            <w:r>
              <w:t>Minor edit</w:t>
            </w:r>
            <w:r w:rsidR="00BD4AF1">
              <w:t>orial changes</w:t>
            </w:r>
            <w:bookmarkStart w:id="9" w:name="_GoBack"/>
            <w:bookmarkEnd w:id="9"/>
          </w:p>
        </w:tc>
      </w:tr>
      <w:tr w:rsidR="00595D9C" w14:paraId="608BF247" w14:textId="77777777" w:rsidTr="004C5FAF">
        <w:tc>
          <w:tcPr>
            <w:tcW w:w="1188" w:type="dxa"/>
          </w:tcPr>
          <w:p w14:paraId="596F3C6A" w14:textId="13F5480A"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proofErr w:type="gramStart"/>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proofErr w:type="gramEnd"/>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 xml:space="preserve">abbreviations, </w:t>
      </w:r>
      <w:proofErr w:type="spellStart"/>
      <w:r w:rsidR="00D84744">
        <w:rPr>
          <w:vanish/>
          <w:color w:val="008000"/>
          <w:szCs w:val="20"/>
        </w:rPr>
        <w:t>inlined</w:t>
      </w:r>
      <w:proofErr w:type="spellEnd"/>
      <w:r w:rsidR="00D84744">
        <w:rPr>
          <w:vanish/>
          <w:color w:val="008000"/>
          <w:szCs w:val="20"/>
        </w:rPr>
        <w:t xml:space="preserve">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w:t>
      </w:r>
      <w:proofErr w:type="spellStart"/>
      <w:r>
        <w:rPr>
          <w:vanish/>
          <w:color w:val="008000"/>
          <w:szCs w:val="20"/>
        </w:rPr>
        <w:t>docx</w:t>
      </w:r>
      <w:proofErr w:type="spellEnd"/>
      <w:r>
        <w:rPr>
          <w:vanish/>
          <w:color w:val="008000"/>
          <w:szCs w:val="20"/>
        </w:rPr>
        <w:t xml:space="preserve"> version</w:t>
      </w:r>
      <w:r w:rsidR="00BB510E">
        <w:rPr>
          <w:vanish/>
          <w:color w:val="008000"/>
          <w:szCs w:val="20"/>
        </w:rPr>
        <w:t xml:space="preserve">, updated font to Calibri for cleaner look.  </w:t>
      </w:r>
      <w:proofErr w:type="gramStart"/>
      <w:r w:rsidR="00BB510E">
        <w:rPr>
          <w:vanish/>
          <w:color w:val="008000"/>
          <w:szCs w:val="20"/>
        </w:rPr>
        <w:t>Added additional template usage clarification.</w:t>
      </w:r>
      <w:proofErr w:type="gramEnd"/>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2016-09-14 – Removed blue highlighting from hidden text content, removed ICR column from 5.1 and 6.1 tables and added “FIX Spec” to the Comments column header of table 6.1 and revised notation of optional elaboration for fields and </w:t>
      </w:r>
      <w:proofErr w:type="spellStart"/>
      <w:r>
        <w:rPr>
          <w:vanish/>
          <w:color w:val="008000"/>
          <w:szCs w:val="20"/>
        </w:rPr>
        <w:t>enums</w:t>
      </w:r>
      <w:proofErr w:type="spellEnd"/>
      <w:r>
        <w:rPr>
          <w:vanish/>
          <w:color w:val="008000"/>
          <w:szCs w:val="20"/>
        </w:rPr>
        <w:t xml:space="preserve"> in the data dictionary.</w:t>
      </w:r>
    </w:p>
    <w:p w14:paraId="25F16752" w14:textId="77777777" w:rsidR="00640B1F" w:rsidRDefault="00595D9C" w:rsidP="00595D9C">
      <w:pPr>
        <w:pStyle w:val="Heading1"/>
      </w:pPr>
      <w:r>
        <w:br w:type="page"/>
      </w:r>
      <w:bookmarkStart w:id="10" w:name="_Toc110516413"/>
      <w:r>
        <w:lastRenderedPageBreak/>
        <w:t>Introduction</w:t>
      </w:r>
      <w:bookmarkEnd w:id="10"/>
    </w:p>
    <w:p w14:paraId="0A3BB19B" w14:textId="3FC9F44A" w:rsidR="00BF2B75" w:rsidRDefault="00E56E06" w:rsidP="00172ACC">
      <w:pPr>
        <w:pStyle w:val="BodyText"/>
      </w:pPr>
      <w:r>
        <w:t xml:space="preserve">This gap analysis proposal seeks to address </w:t>
      </w:r>
      <w:r w:rsidR="00222A69">
        <w:t xml:space="preserve">a specific update to the CFTC Parts 43 and 45 reporting </w:t>
      </w:r>
      <w:r w:rsidR="00EF1112">
        <w:t xml:space="preserve">technical specification </w:t>
      </w:r>
      <w:r w:rsidR="00222A69">
        <w:t>requirements</w:t>
      </w:r>
      <w:r w:rsidR="00EF1112">
        <w:t>, where both the Unique Swap Identifier</w:t>
      </w:r>
      <w:r w:rsidR="00394F12">
        <w:t xml:space="preserve"> </w:t>
      </w:r>
      <w:r w:rsidR="00EF1112">
        <w:t>(USI) and Unique Transaction Identifier</w:t>
      </w:r>
      <w:r w:rsidR="00394F12">
        <w:t xml:space="preserve"> </w:t>
      </w:r>
      <w:r w:rsidR="00EF1112">
        <w:t>(UTI) can be used for reporting purposes to the CFTC.</w:t>
      </w:r>
    </w:p>
    <w:p w14:paraId="2D50D9DA" w14:textId="77777777" w:rsidR="00222A69" w:rsidRDefault="00222A69" w:rsidP="00172ACC">
      <w:pPr>
        <w:pStyle w:val="BodyText"/>
      </w:pPr>
    </w:p>
    <w:p w14:paraId="38542809" w14:textId="77777777" w:rsidR="002E7FCD" w:rsidRDefault="002E7FCD" w:rsidP="002E7FCD">
      <w:pPr>
        <w:pStyle w:val="Heading1"/>
      </w:pPr>
      <w:bookmarkStart w:id="11" w:name="_Toc110516414"/>
      <w:r>
        <w:t xml:space="preserve">Business </w:t>
      </w:r>
      <w:r w:rsidR="00BB510E">
        <w:t>Requirements</w:t>
      </w:r>
      <w:bookmarkEnd w:id="11"/>
    </w:p>
    <w:p w14:paraId="2261BE33" w14:textId="3173A372" w:rsidR="00EF1112" w:rsidRDefault="00EF1112" w:rsidP="00403113">
      <w:pPr>
        <w:pStyle w:val="BodyText"/>
      </w:pPr>
      <w:r>
        <w:t>T</w:t>
      </w:r>
      <w:r w:rsidR="002671A6">
        <w:t xml:space="preserve">he US Commodity Futures Trading Commission </w:t>
      </w:r>
      <w:r>
        <w:t>published an update to their Technical Specification for Parts 43 and 45 swap data reporting and public dissemination requirements September 30, 2021, Version 3.0 which can be found at this link:</w:t>
      </w:r>
    </w:p>
    <w:p w14:paraId="0D2C6F6D" w14:textId="77777777" w:rsidR="00EF1112" w:rsidRDefault="00B77358" w:rsidP="00EF1112">
      <w:pPr>
        <w:pStyle w:val="BodyText"/>
      </w:pPr>
      <w:hyperlink r:id="rId15" w:history="1">
        <w:r w:rsidR="00EF1112" w:rsidRPr="00274C58">
          <w:rPr>
            <w:rStyle w:val="Hyperlink"/>
          </w:rPr>
          <w:t>https://www.cftc.gov/media/3496/DMO_Part43_45TechnicalSpecification022020/download</w:t>
        </w:r>
      </w:hyperlink>
      <w:r w:rsidR="00EF1112">
        <w:t xml:space="preserve"> </w:t>
      </w:r>
    </w:p>
    <w:p w14:paraId="7F23F8BF" w14:textId="15EE4987" w:rsidR="004E3F32" w:rsidRDefault="00EF1112" w:rsidP="00172ACC">
      <w:pPr>
        <w:pStyle w:val="BodyText"/>
      </w:pPr>
      <w:r>
        <w:t>Supplementary information regarding the USI Data Standard can be found at this link:</w:t>
      </w:r>
    </w:p>
    <w:p w14:paraId="4F80A95E" w14:textId="10BF3737" w:rsidR="00EF1112" w:rsidRDefault="00B77358" w:rsidP="00172ACC">
      <w:pPr>
        <w:pStyle w:val="BodyText"/>
      </w:pPr>
      <w:hyperlink r:id="rId16" w:history="1">
        <w:r w:rsidR="00EF1112" w:rsidRPr="00274C58">
          <w:rPr>
            <w:rStyle w:val="Hyperlink"/>
          </w:rPr>
          <w:t>https://www.cftc.gov/sites/default/files/idc/groups/public/@swaps/documents/dfsubmission/usidatastandards100112.pdf</w:t>
        </w:r>
      </w:hyperlink>
      <w:r w:rsidR="00EF1112">
        <w:t xml:space="preserve"> </w:t>
      </w:r>
    </w:p>
    <w:p w14:paraId="55648AC4" w14:textId="742099DF" w:rsidR="00EF1112" w:rsidRDefault="00970E9E" w:rsidP="00172ACC">
      <w:pPr>
        <w:pStyle w:val="BodyText"/>
      </w:pPr>
      <w:r>
        <w:t>In the updated guidelines, lines 102 and 103 from the table in Section 2 "Technical Specification and Validation Rules" indicated the following requirements (in summary of the image from the Technical Specification):</w:t>
      </w:r>
    </w:p>
    <w:p w14:paraId="2F0C5C09" w14:textId="2937DDAB" w:rsidR="001D7CFF" w:rsidRDefault="00970E9E" w:rsidP="001D7CFF">
      <w:pPr>
        <w:pStyle w:val="BodyText"/>
        <w:numPr>
          <w:ilvl w:val="0"/>
          <w:numId w:val="11"/>
        </w:numPr>
      </w:pPr>
      <w:r>
        <w:t xml:space="preserve">USI - </w:t>
      </w:r>
      <w:r w:rsidR="001D7CFF">
        <w:t>conditionally required if UTI is not populated, otherwise blank</w:t>
      </w:r>
    </w:p>
    <w:p w14:paraId="62C135BF" w14:textId="05139373" w:rsidR="001D7CFF" w:rsidRDefault="001D7CFF" w:rsidP="001D7CFF">
      <w:pPr>
        <w:pStyle w:val="BodyText"/>
        <w:numPr>
          <w:ilvl w:val="0"/>
          <w:numId w:val="11"/>
        </w:numPr>
      </w:pPr>
      <w:r>
        <w:t>UTI - conditionally required if USI is not populated, otherwise blank</w:t>
      </w:r>
    </w:p>
    <w:p w14:paraId="6F8B6387" w14:textId="77777777" w:rsidR="001D7CFF" w:rsidRDefault="001D7CFF" w:rsidP="001D7CFF">
      <w:pPr>
        <w:pStyle w:val="BodyText"/>
      </w:pPr>
    </w:p>
    <w:p w14:paraId="16C8780C" w14:textId="08339F56" w:rsidR="00970E9E" w:rsidRDefault="00970E9E" w:rsidP="001D7CFF">
      <w:pPr>
        <w:pStyle w:val="BodyText"/>
        <w:ind w:left="-990"/>
      </w:pPr>
      <w:r w:rsidRPr="00970E9E">
        <w:rPr>
          <w:noProof/>
        </w:rPr>
        <w:drawing>
          <wp:inline distT="0" distB="0" distL="0" distR="0" wp14:anchorId="22B05A89" wp14:editId="48186F29">
            <wp:extent cx="7190310" cy="373266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190310" cy="3732662"/>
                    </a:xfrm>
                    <a:prstGeom prst="rect">
                      <a:avLst/>
                    </a:prstGeom>
                  </pic:spPr>
                </pic:pic>
              </a:graphicData>
            </a:graphic>
          </wp:inline>
        </w:drawing>
      </w:r>
    </w:p>
    <w:p w14:paraId="5B0C60F7" w14:textId="4988D112" w:rsidR="001D7CFF" w:rsidRDefault="001D7CFF" w:rsidP="001D7CFF">
      <w:pPr>
        <w:pStyle w:val="BodyText"/>
      </w:pPr>
      <w:r>
        <w:lastRenderedPageBreak/>
        <w:t>The USI follows the USI Data Standard as described in USI Data Standard link above, while the UTI is the ISO 23897.</w:t>
      </w:r>
    </w:p>
    <w:p w14:paraId="2B400702" w14:textId="7207A726" w:rsidR="00AA55EC" w:rsidRDefault="00AA55EC" w:rsidP="00AA55EC">
      <w:pPr>
        <w:pStyle w:val="BodyText"/>
      </w:pPr>
      <w:r>
        <w:t xml:space="preserve">When FIX was enhanced to support the Dodd-Frank Act's Parts 43/45 reporting requirements in 2012, the repeating components </w:t>
      </w:r>
      <w:proofErr w:type="spellStart"/>
      <w:r>
        <w:t>RegulatoryTradeIDGrp</w:t>
      </w:r>
      <w:proofErr w:type="spellEnd"/>
      <w:r>
        <w:t xml:space="preserve">, </w:t>
      </w:r>
      <w:proofErr w:type="spellStart"/>
      <w:r>
        <w:t>SideRegulatoryTradeIDGrp</w:t>
      </w:r>
      <w:proofErr w:type="spellEnd"/>
      <w:r>
        <w:t xml:space="preserve"> and </w:t>
      </w:r>
      <w:proofErr w:type="spellStart"/>
      <w:r>
        <w:t>AllocRegulatoryTradeIDGrp</w:t>
      </w:r>
      <w:proofErr w:type="spellEnd"/>
      <w:r>
        <w:t xml:space="preserve"> </w:t>
      </w:r>
      <w:r w:rsidR="00394F12">
        <w:t xml:space="preserve">were </w:t>
      </w:r>
      <w:r>
        <w:t xml:space="preserve">designed to meet the CFTC requirements as UTI was not yet a standard. The CFTC's USI Data Standard had called for a 2-field representation of the USI where the first "field" is the namespace identifying "the registered entity creating the USI" and the second "field" contains the transaction identifier, FIX's component was designed with this separation using the </w:t>
      </w:r>
      <w:proofErr w:type="spellStart"/>
      <w:proofErr w:type="gramStart"/>
      <w:r>
        <w:t>RegulatoryTradeID</w:t>
      </w:r>
      <w:proofErr w:type="spellEnd"/>
      <w:r>
        <w:t>(</w:t>
      </w:r>
      <w:proofErr w:type="gramEnd"/>
      <w:r>
        <w:t xml:space="preserve">1903) and </w:t>
      </w:r>
      <w:proofErr w:type="spellStart"/>
      <w:r>
        <w:t>RegulatoryTradeIDSource</w:t>
      </w:r>
      <w:proofErr w:type="spellEnd"/>
      <w:r>
        <w:t>(1905) fields with the latter field being the field for the namespace.</w:t>
      </w:r>
    </w:p>
    <w:p w14:paraId="52599564" w14:textId="77777777" w:rsidR="00AA55EC" w:rsidRDefault="00AA55EC" w:rsidP="00AA55EC">
      <w:pPr>
        <w:pStyle w:val="BodyText"/>
      </w:pPr>
      <w:r>
        <w:t>The UTI ISO 23897 standard is defined as a single string where the entity creating the identifier is part of the UTI in the form of the entity's LEI (ISO 17442 Legal Entity Identifier)</w:t>
      </w:r>
      <w:proofErr w:type="gramStart"/>
      <w:r>
        <w:t>,</w:t>
      </w:r>
      <w:proofErr w:type="gramEnd"/>
      <w:r>
        <w:t xml:space="preserve"> therefore a separate namespace is not needed.</w:t>
      </w:r>
    </w:p>
    <w:p w14:paraId="0323B497" w14:textId="1497B197" w:rsidR="00970E9E" w:rsidRDefault="00AA55EC" w:rsidP="00AA55EC">
      <w:pPr>
        <w:pStyle w:val="BodyText"/>
      </w:pPr>
      <w:r>
        <w:t>In order to now meet the requirements of being able to convey both the USI and UTI in the same components in FIX, the follow</w:t>
      </w:r>
      <w:r w:rsidR="00394F12">
        <w:t>ing</w:t>
      </w:r>
      <w:r>
        <w:t xml:space="preserve"> are the proposed changes to the </w:t>
      </w:r>
      <w:proofErr w:type="spellStart"/>
      <w:proofErr w:type="gramStart"/>
      <w:r>
        <w:t>RegulatoryTradeIDSource</w:t>
      </w:r>
      <w:proofErr w:type="spellEnd"/>
      <w:r>
        <w:t>(</w:t>
      </w:r>
      <w:proofErr w:type="gramEnd"/>
      <w:r>
        <w:t>1905) field's description in the FIX data dictionary:</w:t>
      </w:r>
    </w:p>
    <w:p w14:paraId="3D1A2100" w14:textId="01B3B527" w:rsidR="00AA55EC" w:rsidRPr="000B5BF6" w:rsidRDefault="000B5BF6" w:rsidP="000B5BF6">
      <w:pPr>
        <w:pStyle w:val="BodyText"/>
        <w:numPr>
          <w:ilvl w:val="0"/>
          <w:numId w:val="12"/>
        </w:numPr>
      </w:pPr>
      <w:r>
        <w:t xml:space="preserve">Add a field elaboration: </w:t>
      </w:r>
      <w:r>
        <w:rPr>
          <w:i/>
        </w:rPr>
        <w:t xml:space="preserve">In the context of CFTC usage for Unique Swap Identifier </w:t>
      </w:r>
      <w:r w:rsidR="003E2E1B">
        <w:rPr>
          <w:i/>
        </w:rPr>
        <w:t xml:space="preserve">(USI), </w:t>
      </w:r>
      <w:r w:rsidR="0074234B">
        <w:rPr>
          <w:i/>
        </w:rPr>
        <w:t>this field is required</w:t>
      </w:r>
      <w:r w:rsidR="0074234B" w:rsidRPr="0074234B">
        <w:rPr>
          <w:i/>
        </w:rPr>
        <w:t xml:space="preserve"> </w:t>
      </w:r>
      <w:r w:rsidR="0074234B">
        <w:rPr>
          <w:i/>
        </w:rPr>
        <w:t>to convey the namespace of the entity creating the US</w:t>
      </w:r>
      <w:r w:rsidR="00394F12">
        <w:rPr>
          <w:i/>
        </w:rPr>
        <w:t>I</w:t>
      </w:r>
      <w:r w:rsidR="0074234B">
        <w:rPr>
          <w:i/>
        </w:rPr>
        <w:t xml:space="preserve">, in accordance to the USI </w:t>
      </w:r>
      <w:r>
        <w:rPr>
          <w:i/>
        </w:rPr>
        <w:t>Data Standard (</w:t>
      </w:r>
      <w:hyperlink r:id="rId18" w:history="1">
        <w:r w:rsidRPr="00755FD0">
          <w:rPr>
            <w:rStyle w:val="Hyperlink"/>
            <w:i/>
          </w:rPr>
          <w:t>https://www.cftc.gov/sites/default/files/idc/groups/public/@swaps/documents/dfsubmission/usidatastandards100112.pdf</w:t>
        </w:r>
      </w:hyperlink>
      <w:r>
        <w:rPr>
          <w:i/>
        </w:rPr>
        <w:t>).</w:t>
      </w:r>
    </w:p>
    <w:p w14:paraId="6773DCF4" w14:textId="5F86AABA" w:rsidR="000B5BF6" w:rsidRDefault="000B5BF6" w:rsidP="000B5BF6">
      <w:pPr>
        <w:pStyle w:val="BodyText"/>
        <w:numPr>
          <w:ilvl w:val="0"/>
          <w:numId w:val="12"/>
        </w:numPr>
      </w:pPr>
      <w:r>
        <w:t xml:space="preserve">Add a code set </w:t>
      </w:r>
      <w:r w:rsidR="0074234B">
        <w:t xml:space="preserve">value </w:t>
      </w:r>
      <w:r>
        <w:t xml:space="preserve">to this field with a single value </w:t>
      </w:r>
      <w:r w:rsidRPr="0074234B">
        <w:rPr>
          <w:b/>
        </w:rPr>
        <w:t>1 = Unique Transaction Identifier</w:t>
      </w:r>
      <w:r w:rsidR="00A47DCC">
        <w:rPr>
          <w:b/>
        </w:rPr>
        <w:t xml:space="preserve"> (</w:t>
      </w:r>
      <w:r w:rsidR="00A47DCC" w:rsidRPr="0074234B">
        <w:rPr>
          <w:b/>
        </w:rPr>
        <w:t>ISO 23897</w:t>
      </w:r>
      <w:r w:rsidR="00A47DCC">
        <w:rPr>
          <w:b/>
        </w:rPr>
        <w:t>)</w:t>
      </w:r>
      <w:r>
        <w:t xml:space="preserve"> to allow for explicit indication that the value in </w:t>
      </w:r>
      <w:proofErr w:type="spellStart"/>
      <w:proofErr w:type="gramStart"/>
      <w:r>
        <w:t>RegulatoryTradeID</w:t>
      </w:r>
      <w:proofErr w:type="spellEnd"/>
      <w:r>
        <w:t>(</w:t>
      </w:r>
      <w:proofErr w:type="gramEnd"/>
      <w:r>
        <w:t>1903) is a UTI</w:t>
      </w:r>
      <w:r w:rsidR="00AD110C">
        <w:t xml:space="preserve"> value</w:t>
      </w:r>
      <w:r>
        <w:t>.</w:t>
      </w:r>
    </w:p>
    <w:p w14:paraId="7925410B" w14:textId="4D58CCC0" w:rsidR="000B5BF6" w:rsidRDefault="00AD110C" w:rsidP="000B5BF6">
      <w:pPr>
        <w:pStyle w:val="BodyText"/>
        <w:ind w:left="720"/>
      </w:pPr>
      <w:r>
        <w:t>I</w:t>
      </w:r>
      <w:r w:rsidR="000B5BF6">
        <w:t xml:space="preserve">mplementations may choose to bilaterally agree to omit </w:t>
      </w:r>
      <w:proofErr w:type="spellStart"/>
      <w:proofErr w:type="gramStart"/>
      <w:r w:rsidR="0074234B">
        <w:t>RegulatoryTradeIDSource</w:t>
      </w:r>
      <w:proofErr w:type="spellEnd"/>
      <w:r w:rsidR="0074234B">
        <w:t>(</w:t>
      </w:r>
      <w:proofErr w:type="gramEnd"/>
      <w:r w:rsidR="0074234B">
        <w:t xml:space="preserve">1905) if they are conveying UTI in </w:t>
      </w:r>
      <w:proofErr w:type="spellStart"/>
      <w:r w:rsidR="0074234B">
        <w:t>RegulatoryTradeID</w:t>
      </w:r>
      <w:proofErr w:type="spellEnd"/>
      <w:r w:rsidR="0074234B">
        <w:t xml:space="preserve">(1903) as this field is not required in the repeating </w:t>
      </w:r>
      <w:r w:rsidR="003E2E1B">
        <w:t>group</w:t>
      </w:r>
      <w:r w:rsidR="0074234B">
        <w:t xml:space="preserve">.  However, </w:t>
      </w:r>
      <w:proofErr w:type="spellStart"/>
      <w:proofErr w:type="gramStart"/>
      <w:r w:rsidR="0074234B">
        <w:t>RegulatoryTradeIDSource</w:t>
      </w:r>
      <w:proofErr w:type="spellEnd"/>
      <w:r w:rsidR="0074234B">
        <w:t>(</w:t>
      </w:r>
      <w:proofErr w:type="gramEnd"/>
      <w:r w:rsidR="0074234B">
        <w:t>1905) is required to contain the namespace when conveying USI.</w:t>
      </w:r>
    </w:p>
    <w:p w14:paraId="39311050" w14:textId="77777777" w:rsidR="00AA55EC" w:rsidRDefault="00AA55EC" w:rsidP="00AA55EC">
      <w:pPr>
        <w:pStyle w:val="BodyText"/>
      </w:pPr>
    </w:p>
    <w:p w14:paraId="4D3163C5" w14:textId="77777777" w:rsidR="002E7FCD" w:rsidRDefault="002E7FCD" w:rsidP="002E7FCD">
      <w:pPr>
        <w:pStyle w:val="Heading1"/>
      </w:pPr>
      <w:bookmarkStart w:id="12" w:name="_Toc110516415"/>
      <w:r>
        <w:t>Issues and Discussion Points</w:t>
      </w:r>
      <w:bookmarkEnd w:id="12"/>
    </w:p>
    <w:p w14:paraId="20C982F9" w14:textId="77777777" w:rsidR="001D7CFF" w:rsidRDefault="001D7CFF" w:rsidP="00172ACC">
      <w:pPr>
        <w:pStyle w:val="BodyText"/>
      </w:pPr>
    </w:p>
    <w:p w14:paraId="7297267C" w14:textId="77777777" w:rsidR="002E7FCD" w:rsidRDefault="002E7FCD" w:rsidP="002E7FCD">
      <w:pPr>
        <w:pStyle w:val="Heading1"/>
      </w:pPr>
      <w:bookmarkStart w:id="13" w:name="_Toc110516416"/>
      <w:r>
        <w:t>Proposed Message Flow</w:t>
      </w:r>
      <w:bookmarkEnd w:id="13"/>
    </w:p>
    <w:p w14:paraId="2CD03FCE" w14:textId="148F2C0C" w:rsidR="00AB2374" w:rsidRDefault="004B1CC7" w:rsidP="00403113">
      <w:pPr>
        <w:pStyle w:val="BodyText"/>
      </w:pPr>
      <w:r>
        <w:t>There are not changes to existing message flows.</w:t>
      </w:r>
    </w:p>
    <w:p w14:paraId="4C2C9DFF" w14:textId="77777777" w:rsidR="00BE2DF5" w:rsidRDefault="00BE2DF5" w:rsidP="00172ACC">
      <w:pPr>
        <w:pStyle w:val="BodyText"/>
      </w:pPr>
    </w:p>
    <w:p w14:paraId="66B62982" w14:textId="77777777" w:rsidR="002E7FCD" w:rsidRDefault="002E7FCD" w:rsidP="00D07DED">
      <w:pPr>
        <w:pStyle w:val="Heading1"/>
      </w:pPr>
      <w:bookmarkStart w:id="14" w:name="_Toc110516417"/>
      <w:r>
        <w:t xml:space="preserve">FIX </w:t>
      </w:r>
      <w:r w:rsidR="00BD39FB">
        <w:t>M</w:t>
      </w:r>
      <w:r>
        <w:t xml:space="preserve">essage </w:t>
      </w:r>
      <w:r w:rsidR="00BD39FB">
        <w:t>T</w:t>
      </w:r>
      <w:r>
        <w:t>ables</w:t>
      </w:r>
      <w:bookmarkEnd w:id="14"/>
    </w:p>
    <w:p w14:paraId="3596D22E" w14:textId="77777777" w:rsidR="00EF1112" w:rsidRDefault="00EF1112" w:rsidP="00EF1112">
      <w:pPr>
        <w:pStyle w:val="BodyText"/>
      </w:pPr>
      <w:r>
        <w:t>No changes</w:t>
      </w:r>
      <w:bookmarkStart w:id="15" w:name="_Toc110516420"/>
    </w:p>
    <w:p w14:paraId="778716F5" w14:textId="77777777" w:rsidR="00EF1112" w:rsidRDefault="00EF1112" w:rsidP="00EF1112">
      <w:pPr>
        <w:pStyle w:val="BodyText"/>
      </w:pPr>
    </w:p>
    <w:p w14:paraId="6EF74A88" w14:textId="7609F84A" w:rsidR="00D001DD" w:rsidRDefault="00D001DD" w:rsidP="00D07DED">
      <w:pPr>
        <w:pStyle w:val="Heading1"/>
      </w:pPr>
      <w:r>
        <w:t xml:space="preserve">FIX </w:t>
      </w:r>
      <w:r w:rsidR="00BD39FB">
        <w:t>C</w:t>
      </w:r>
      <w:r>
        <w:t xml:space="preserve">omponent </w:t>
      </w:r>
      <w:r w:rsidR="00BD39FB">
        <w:t>B</w:t>
      </w:r>
      <w:r>
        <w:t>locks</w:t>
      </w:r>
      <w:bookmarkEnd w:id="15"/>
    </w:p>
    <w:p w14:paraId="5F4B33AC" w14:textId="3DBAED7F" w:rsidR="003F27AC" w:rsidRDefault="0074234B" w:rsidP="00D07DED">
      <w:pPr>
        <w:pStyle w:val="BodyText"/>
      </w:pPr>
      <w:r>
        <w:t>No changes</w:t>
      </w:r>
    </w:p>
    <w:p w14:paraId="7600FBBD" w14:textId="77777777" w:rsidR="00344802" w:rsidRDefault="00344802" w:rsidP="00172ACC">
      <w:pPr>
        <w:pStyle w:val="BodyText"/>
      </w:pPr>
    </w:p>
    <w:p w14:paraId="3E7C6497" w14:textId="77777777" w:rsidR="004829A2" w:rsidRDefault="004829A2" w:rsidP="004829A2">
      <w:pPr>
        <w:pStyle w:val="Heading1"/>
      </w:pPr>
      <w:bookmarkStart w:id="16" w:name="_Toc110516423"/>
      <w:r>
        <w:t>Category Changes</w:t>
      </w:r>
      <w:bookmarkEnd w:id="16"/>
    </w:p>
    <w:p w14:paraId="0EFD6346" w14:textId="61CDB226" w:rsidR="004829A2" w:rsidRPr="004829A2" w:rsidRDefault="00041A12" w:rsidP="00041A12">
      <w:pPr>
        <w:pStyle w:val="BodyText"/>
      </w:pPr>
      <w:r>
        <w:t>No changes</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9"/>
          <w:footerReference w:type="default" r:id="rId20"/>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17" w:name="_Toc110516424"/>
      <w:r>
        <w:lastRenderedPageBreak/>
        <w:t>Appendix A - Data Dictionary</w:t>
      </w:r>
      <w:bookmarkEnd w:id="17"/>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600CB" w14:paraId="38394680" w14:textId="77777777">
        <w:trPr>
          <w:cantSplit/>
        </w:trPr>
        <w:tc>
          <w:tcPr>
            <w:tcW w:w="827" w:type="dxa"/>
            <w:tcBorders>
              <w:top w:val="double" w:sz="4" w:space="0" w:color="auto"/>
            </w:tcBorders>
          </w:tcPr>
          <w:p w14:paraId="4A59B11F" w14:textId="5AC3FCD9" w:rsidR="007600CB" w:rsidRPr="0074234B" w:rsidRDefault="0074234B" w:rsidP="00CC134C">
            <w:pPr>
              <w:jc w:val="center"/>
            </w:pPr>
            <w:r>
              <w:t>1905</w:t>
            </w:r>
          </w:p>
        </w:tc>
        <w:tc>
          <w:tcPr>
            <w:tcW w:w="2072" w:type="dxa"/>
            <w:tcBorders>
              <w:top w:val="double" w:sz="4" w:space="0" w:color="auto"/>
            </w:tcBorders>
          </w:tcPr>
          <w:p w14:paraId="6DECC894" w14:textId="33AFEA0C" w:rsidR="007600CB" w:rsidRPr="0074234B" w:rsidRDefault="0074234B" w:rsidP="00CC134C">
            <w:proofErr w:type="spellStart"/>
            <w:r>
              <w:t>RegulatoryTradeIDSource</w:t>
            </w:r>
            <w:proofErr w:type="spellEnd"/>
          </w:p>
        </w:tc>
        <w:tc>
          <w:tcPr>
            <w:tcW w:w="1081" w:type="dxa"/>
            <w:tcBorders>
              <w:top w:val="double" w:sz="4" w:space="0" w:color="auto"/>
            </w:tcBorders>
          </w:tcPr>
          <w:p w14:paraId="2FD7B932" w14:textId="7EB2A93E" w:rsidR="007600CB" w:rsidRPr="00C437EC" w:rsidRDefault="0074234B" w:rsidP="00CC134C">
            <w:pPr>
              <w:rPr>
                <w:highlight w:val="yellow"/>
              </w:rPr>
            </w:pPr>
            <w:r w:rsidRPr="00C437EC">
              <w:rPr>
                <w:highlight w:val="yellow"/>
              </w:rPr>
              <w:t>CHANGE</w:t>
            </w:r>
          </w:p>
        </w:tc>
        <w:tc>
          <w:tcPr>
            <w:tcW w:w="1081" w:type="dxa"/>
            <w:tcBorders>
              <w:top w:val="double" w:sz="4" w:space="0" w:color="auto"/>
            </w:tcBorders>
          </w:tcPr>
          <w:p w14:paraId="01E88E81" w14:textId="2713BC64" w:rsidR="007600CB" w:rsidRPr="0074234B" w:rsidRDefault="0074234B" w:rsidP="00CC134C">
            <w:r>
              <w:t>String</w:t>
            </w:r>
          </w:p>
        </w:tc>
        <w:tc>
          <w:tcPr>
            <w:tcW w:w="4030" w:type="dxa"/>
            <w:tcBorders>
              <w:top w:val="double" w:sz="4" w:space="0" w:color="auto"/>
            </w:tcBorders>
          </w:tcPr>
          <w:p w14:paraId="5ECCC9E0" w14:textId="2B0DBAA3" w:rsidR="00B213BE" w:rsidRDefault="0074234B">
            <w:r w:rsidRPr="0074234B">
              <w:t xml:space="preserve">Identifies the reporting entity that originated the value in </w:t>
            </w:r>
            <w:proofErr w:type="spellStart"/>
            <w:proofErr w:type="gramStart"/>
            <w:r w:rsidRPr="0074234B">
              <w:t>RegulatoryTradeID</w:t>
            </w:r>
            <w:proofErr w:type="spellEnd"/>
            <w:r w:rsidRPr="0074234B">
              <w:t>(</w:t>
            </w:r>
            <w:proofErr w:type="gramEnd"/>
            <w:r w:rsidRPr="0074234B">
              <w:t xml:space="preserve">1903). The reporting </w:t>
            </w:r>
            <w:r w:rsidR="00C437EC" w:rsidRPr="0074234B">
              <w:t>entity</w:t>
            </w:r>
            <w:r w:rsidRPr="0074234B">
              <w:t xml:space="preserve"> identifier may be assigned by a regulator.</w:t>
            </w:r>
          </w:p>
          <w:p w14:paraId="798526C7" w14:textId="77777777" w:rsidR="00C437EC" w:rsidRDefault="00C437EC"/>
          <w:p w14:paraId="042DA572" w14:textId="5F054873" w:rsidR="00C437EC" w:rsidRDefault="00C437EC">
            <w:r w:rsidRPr="00C437EC">
              <w:t xml:space="preserve">Elaboration: </w:t>
            </w:r>
            <w:r w:rsidRPr="00C437EC">
              <w:rPr>
                <w:highlight w:val="yellow"/>
              </w:rPr>
              <w:t xml:space="preserve">In the context of CFTC usage for Unique Swap Identifier </w:t>
            </w:r>
            <w:r w:rsidR="003E2E1B">
              <w:rPr>
                <w:highlight w:val="yellow"/>
              </w:rPr>
              <w:t xml:space="preserve">(USI), </w:t>
            </w:r>
            <w:r w:rsidRPr="00C437EC">
              <w:rPr>
                <w:highlight w:val="yellow"/>
              </w:rPr>
              <w:t>this field is required to convey the namespace of the entity creating the US</w:t>
            </w:r>
            <w:r w:rsidR="003E2E1B">
              <w:rPr>
                <w:highlight w:val="yellow"/>
              </w:rPr>
              <w:t>I</w:t>
            </w:r>
            <w:r w:rsidRPr="00C437EC">
              <w:rPr>
                <w:highlight w:val="yellow"/>
              </w:rPr>
              <w:t>, in accordance to the USI Data Standard (https://www.cftc.gov/sites/default/files/idc/groups/public/@swaps/documents/dfsubmission/usidatastandards100112.pdf).</w:t>
            </w:r>
          </w:p>
          <w:p w14:paraId="71698A36" w14:textId="77777777" w:rsidR="0074234B" w:rsidRDefault="0074234B"/>
          <w:p w14:paraId="7EF0CB30" w14:textId="77777777" w:rsidR="0074234B" w:rsidRDefault="0074234B">
            <w:r>
              <w:t>Supported values:</w:t>
            </w:r>
          </w:p>
          <w:p w14:paraId="674F717E" w14:textId="0738083B" w:rsidR="0074234B" w:rsidRPr="000D6306" w:rsidRDefault="0074234B" w:rsidP="000906B4">
            <w:pPr>
              <w:rPr>
                <w:highlight w:val="yellow"/>
              </w:rPr>
            </w:pPr>
            <w:r w:rsidRPr="00C437EC">
              <w:rPr>
                <w:highlight w:val="yellow"/>
              </w:rPr>
              <w:t xml:space="preserve">1 = </w:t>
            </w:r>
            <w:r w:rsidRPr="000906B4">
              <w:rPr>
                <w:highlight w:val="yellow"/>
              </w:rPr>
              <w:t>Unique Transaction Identifier</w:t>
            </w:r>
            <w:r w:rsidR="000906B4" w:rsidRPr="000906B4">
              <w:rPr>
                <w:highlight w:val="yellow"/>
              </w:rPr>
              <w:t xml:space="preserve"> (ISO 23897)</w:t>
            </w:r>
          </w:p>
        </w:tc>
        <w:tc>
          <w:tcPr>
            <w:tcW w:w="1655" w:type="dxa"/>
            <w:tcBorders>
              <w:top w:val="double" w:sz="4" w:space="0" w:color="auto"/>
            </w:tcBorders>
          </w:tcPr>
          <w:p w14:paraId="6DC1CEAE" w14:textId="10E9D1EB" w:rsidR="007600CB" w:rsidRPr="00C437EC" w:rsidRDefault="00C437EC" w:rsidP="00CC134C">
            <w:proofErr w:type="spellStart"/>
            <w:r w:rsidRPr="00C437EC">
              <w:t>Src</w:t>
            </w:r>
            <w:proofErr w:type="spellEnd"/>
          </w:p>
        </w:tc>
        <w:tc>
          <w:tcPr>
            <w:tcW w:w="3120" w:type="dxa"/>
            <w:tcBorders>
              <w:top w:val="double" w:sz="4" w:space="0" w:color="auto"/>
            </w:tcBorders>
          </w:tcPr>
          <w:p w14:paraId="3F22E1B2" w14:textId="4735E865" w:rsidR="007E4A25" w:rsidRDefault="007E4A25" w:rsidP="00CC134C"/>
        </w:tc>
      </w:tr>
      <w:tr w:rsidR="00C437EC" w14:paraId="005FF878" w14:textId="77777777">
        <w:trPr>
          <w:cantSplit/>
        </w:trPr>
        <w:tc>
          <w:tcPr>
            <w:tcW w:w="827" w:type="dxa"/>
          </w:tcPr>
          <w:p w14:paraId="0852785E" w14:textId="3FD9D0A2" w:rsidR="00C437EC" w:rsidRDefault="00C437EC" w:rsidP="00CC134C">
            <w:pPr>
              <w:jc w:val="center"/>
            </w:pPr>
            <w:r>
              <w:lastRenderedPageBreak/>
              <w:t>1910</w:t>
            </w:r>
          </w:p>
        </w:tc>
        <w:tc>
          <w:tcPr>
            <w:tcW w:w="2072" w:type="dxa"/>
          </w:tcPr>
          <w:p w14:paraId="5EE055C9" w14:textId="170D8DB1" w:rsidR="00C437EC" w:rsidRDefault="00C437EC" w:rsidP="00CC134C">
            <w:proofErr w:type="spellStart"/>
            <w:r>
              <w:t>AllocRegulatoryTradeIDSource</w:t>
            </w:r>
            <w:proofErr w:type="spellEnd"/>
          </w:p>
        </w:tc>
        <w:tc>
          <w:tcPr>
            <w:tcW w:w="1081" w:type="dxa"/>
          </w:tcPr>
          <w:p w14:paraId="5F47DD3B" w14:textId="2D9031A2" w:rsidR="00C437EC" w:rsidRDefault="00C437EC" w:rsidP="00CC134C">
            <w:r w:rsidRPr="00C437EC">
              <w:rPr>
                <w:highlight w:val="yellow"/>
              </w:rPr>
              <w:t>CHANGE</w:t>
            </w:r>
          </w:p>
        </w:tc>
        <w:tc>
          <w:tcPr>
            <w:tcW w:w="1081" w:type="dxa"/>
          </w:tcPr>
          <w:p w14:paraId="62FEF8C6" w14:textId="0FCCE454" w:rsidR="00C437EC" w:rsidRDefault="00C437EC" w:rsidP="00CC134C">
            <w:r>
              <w:t>String</w:t>
            </w:r>
          </w:p>
        </w:tc>
        <w:tc>
          <w:tcPr>
            <w:tcW w:w="4030" w:type="dxa"/>
          </w:tcPr>
          <w:p w14:paraId="42602123" w14:textId="6A75EAE3" w:rsidR="00C437EC" w:rsidRDefault="00C437EC" w:rsidP="00B42FC0">
            <w:r w:rsidRPr="0074234B">
              <w:t>Identifies the reporting entity that originated the</w:t>
            </w:r>
            <w:r>
              <w:t xml:space="preserve"> value in </w:t>
            </w:r>
            <w:proofErr w:type="spellStart"/>
            <w:proofErr w:type="gramStart"/>
            <w:r>
              <w:t>AllocRegulatoryTradeID</w:t>
            </w:r>
            <w:proofErr w:type="spellEnd"/>
            <w:r>
              <w:t>(</w:t>
            </w:r>
            <w:proofErr w:type="gramEnd"/>
            <w:r>
              <w:t>1909</w:t>
            </w:r>
            <w:r w:rsidRPr="0074234B">
              <w:t>). The reporting entity identifier may be assigned by a regulator.</w:t>
            </w:r>
          </w:p>
          <w:p w14:paraId="7CE42583" w14:textId="77777777" w:rsidR="00C437EC" w:rsidRDefault="00C437EC" w:rsidP="00B42FC0"/>
          <w:p w14:paraId="577FFEB6" w14:textId="1DAD4F53" w:rsidR="00C437EC" w:rsidRDefault="00C437EC" w:rsidP="00B42FC0">
            <w:r w:rsidRPr="00C437EC">
              <w:t xml:space="preserve">Elaboration: </w:t>
            </w:r>
            <w:r w:rsidRPr="00C437EC">
              <w:rPr>
                <w:highlight w:val="yellow"/>
              </w:rPr>
              <w:t xml:space="preserve">In the context of CFTC usage for Unique Swap Identifier </w:t>
            </w:r>
            <w:r w:rsidR="00EF16D1">
              <w:rPr>
                <w:highlight w:val="yellow"/>
              </w:rPr>
              <w:t xml:space="preserve">(USI), </w:t>
            </w:r>
            <w:r w:rsidRPr="00C437EC">
              <w:rPr>
                <w:highlight w:val="yellow"/>
              </w:rPr>
              <w:t>this field is required to convey the namespace of the entity creating the US</w:t>
            </w:r>
            <w:r w:rsidR="00EF16D1">
              <w:rPr>
                <w:highlight w:val="yellow"/>
              </w:rPr>
              <w:t>I</w:t>
            </w:r>
            <w:r w:rsidRPr="00C437EC">
              <w:rPr>
                <w:highlight w:val="yellow"/>
              </w:rPr>
              <w:t>, in accordance to the USI Data Standard (https://www.cftc.gov/sites/default/files/idc/groups/public/@swaps/documents/dfsubmission/usidatastandards100112.pdf).</w:t>
            </w:r>
          </w:p>
          <w:p w14:paraId="645B6A26" w14:textId="77777777" w:rsidR="00C437EC" w:rsidRDefault="00C437EC" w:rsidP="00B42FC0"/>
          <w:p w14:paraId="6A9AA3B0" w14:textId="533FE344" w:rsidR="00C437EC" w:rsidRPr="000906B4" w:rsidRDefault="000906B4" w:rsidP="00CC134C">
            <w:pPr>
              <w:rPr>
                <w:i/>
              </w:rPr>
            </w:pPr>
            <w:r>
              <w:rPr>
                <w:i/>
              </w:rPr>
              <w:t xml:space="preserve">Uses </w:t>
            </w:r>
            <w:proofErr w:type="spellStart"/>
            <w:r>
              <w:rPr>
                <w:i/>
              </w:rPr>
              <w:t>enums</w:t>
            </w:r>
            <w:proofErr w:type="spellEnd"/>
            <w:r>
              <w:rPr>
                <w:i/>
              </w:rPr>
              <w:t xml:space="preserve"> from </w:t>
            </w:r>
            <w:proofErr w:type="spellStart"/>
            <w:r>
              <w:rPr>
                <w:i/>
              </w:rPr>
              <w:t>RegulatoryTradeIDSource</w:t>
            </w:r>
            <w:proofErr w:type="spellEnd"/>
            <w:r>
              <w:rPr>
                <w:i/>
              </w:rPr>
              <w:t>(1905)</w:t>
            </w:r>
          </w:p>
        </w:tc>
        <w:tc>
          <w:tcPr>
            <w:tcW w:w="1655" w:type="dxa"/>
          </w:tcPr>
          <w:p w14:paraId="49867605" w14:textId="713E2CBD" w:rsidR="00C437EC" w:rsidRDefault="00C437EC" w:rsidP="00CC134C">
            <w:proofErr w:type="spellStart"/>
            <w:r w:rsidRPr="00C437EC">
              <w:t>Src</w:t>
            </w:r>
            <w:proofErr w:type="spellEnd"/>
          </w:p>
        </w:tc>
        <w:tc>
          <w:tcPr>
            <w:tcW w:w="3120" w:type="dxa"/>
          </w:tcPr>
          <w:p w14:paraId="466A8AE9" w14:textId="77777777" w:rsidR="00C437EC" w:rsidRDefault="00C437EC" w:rsidP="00CC134C"/>
        </w:tc>
      </w:tr>
      <w:tr w:rsidR="00C437EC" w14:paraId="228F9CEC" w14:textId="77777777">
        <w:trPr>
          <w:cantSplit/>
        </w:trPr>
        <w:tc>
          <w:tcPr>
            <w:tcW w:w="827" w:type="dxa"/>
          </w:tcPr>
          <w:p w14:paraId="5E4C8B54" w14:textId="2225BC62" w:rsidR="00C437EC" w:rsidRDefault="00C437EC" w:rsidP="00CC134C">
            <w:pPr>
              <w:jc w:val="center"/>
            </w:pPr>
            <w:r>
              <w:t>1973</w:t>
            </w:r>
          </w:p>
        </w:tc>
        <w:tc>
          <w:tcPr>
            <w:tcW w:w="2072" w:type="dxa"/>
          </w:tcPr>
          <w:p w14:paraId="3989F1AE" w14:textId="3F68157F" w:rsidR="00C437EC" w:rsidRDefault="00C437EC" w:rsidP="00CC134C">
            <w:proofErr w:type="spellStart"/>
            <w:r>
              <w:t>SideRegulatoryTradeIDSource</w:t>
            </w:r>
            <w:proofErr w:type="spellEnd"/>
          </w:p>
        </w:tc>
        <w:tc>
          <w:tcPr>
            <w:tcW w:w="1081" w:type="dxa"/>
          </w:tcPr>
          <w:p w14:paraId="7C0963B8" w14:textId="3CBDE7A8" w:rsidR="00C437EC" w:rsidRDefault="00C437EC" w:rsidP="00CC134C">
            <w:r w:rsidRPr="00C437EC">
              <w:rPr>
                <w:highlight w:val="yellow"/>
              </w:rPr>
              <w:t>CHANGE</w:t>
            </w:r>
          </w:p>
        </w:tc>
        <w:tc>
          <w:tcPr>
            <w:tcW w:w="1081" w:type="dxa"/>
          </w:tcPr>
          <w:p w14:paraId="0F437CF0" w14:textId="5C6CF5C4" w:rsidR="00C437EC" w:rsidRDefault="00C437EC" w:rsidP="00CC134C">
            <w:r>
              <w:t>String</w:t>
            </w:r>
          </w:p>
        </w:tc>
        <w:tc>
          <w:tcPr>
            <w:tcW w:w="4030" w:type="dxa"/>
          </w:tcPr>
          <w:p w14:paraId="5B1D42F5" w14:textId="73856865" w:rsidR="00C437EC" w:rsidRDefault="00C437EC" w:rsidP="00B42FC0">
            <w:r w:rsidRPr="0074234B">
              <w:t>Identifies the reporting entity that originated the</w:t>
            </w:r>
            <w:r>
              <w:t xml:space="preserve"> value in </w:t>
            </w:r>
            <w:proofErr w:type="spellStart"/>
            <w:proofErr w:type="gramStart"/>
            <w:r>
              <w:t>SideRegulatoryTradeID</w:t>
            </w:r>
            <w:proofErr w:type="spellEnd"/>
            <w:r>
              <w:t>(</w:t>
            </w:r>
            <w:proofErr w:type="gramEnd"/>
            <w:r>
              <w:t>1972</w:t>
            </w:r>
            <w:r w:rsidRPr="0074234B">
              <w:t>). The reporting entity identifier may be assigned by a regulator.</w:t>
            </w:r>
          </w:p>
          <w:p w14:paraId="0C9E9A48" w14:textId="77777777" w:rsidR="00C437EC" w:rsidRDefault="00C437EC" w:rsidP="00B42FC0"/>
          <w:p w14:paraId="3B917780" w14:textId="5C83FA1F" w:rsidR="00C437EC" w:rsidRDefault="00C437EC" w:rsidP="00B42FC0">
            <w:r w:rsidRPr="00C437EC">
              <w:t xml:space="preserve">Elaboration: </w:t>
            </w:r>
            <w:r w:rsidRPr="00C437EC">
              <w:rPr>
                <w:highlight w:val="yellow"/>
              </w:rPr>
              <w:t xml:space="preserve">In the context of CFTC usage for Unique Swap Identifier </w:t>
            </w:r>
            <w:r w:rsidR="00EF16D1">
              <w:rPr>
                <w:highlight w:val="yellow"/>
              </w:rPr>
              <w:t xml:space="preserve">(USI), </w:t>
            </w:r>
            <w:r w:rsidRPr="00C437EC">
              <w:rPr>
                <w:highlight w:val="yellow"/>
              </w:rPr>
              <w:t>this field is required to convey the namespace of the entity creating the US</w:t>
            </w:r>
            <w:r w:rsidR="00EF16D1">
              <w:rPr>
                <w:highlight w:val="yellow"/>
              </w:rPr>
              <w:t>I</w:t>
            </w:r>
            <w:r w:rsidRPr="00C437EC">
              <w:rPr>
                <w:highlight w:val="yellow"/>
              </w:rPr>
              <w:t>, in accordance to the USI Data Standard (https://www.cftc.gov/sites/default/files/idc/groups/public/@swaps/documents/dfsubmission/usidatastandards100112.pdf).</w:t>
            </w:r>
          </w:p>
          <w:p w14:paraId="56A23DF1" w14:textId="77777777" w:rsidR="00C437EC" w:rsidRDefault="00C437EC" w:rsidP="00B42FC0"/>
          <w:p w14:paraId="2B1CB6AA" w14:textId="50794582" w:rsidR="00C437EC" w:rsidRDefault="000906B4" w:rsidP="00CC134C">
            <w:r>
              <w:rPr>
                <w:i/>
              </w:rPr>
              <w:t xml:space="preserve">Uses </w:t>
            </w:r>
            <w:proofErr w:type="spellStart"/>
            <w:r>
              <w:rPr>
                <w:i/>
              </w:rPr>
              <w:t>enums</w:t>
            </w:r>
            <w:proofErr w:type="spellEnd"/>
            <w:r>
              <w:rPr>
                <w:i/>
              </w:rPr>
              <w:t xml:space="preserve"> from </w:t>
            </w:r>
            <w:proofErr w:type="spellStart"/>
            <w:r>
              <w:rPr>
                <w:i/>
              </w:rPr>
              <w:t>RegulatoryTradeIDSource</w:t>
            </w:r>
            <w:proofErr w:type="spellEnd"/>
            <w:r>
              <w:rPr>
                <w:i/>
              </w:rPr>
              <w:t>(1905)</w:t>
            </w:r>
          </w:p>
        </w:tc>
        <w:tc>
          <w:tcPr>
            <w:tcW w:w="1655" w:type="dxa"/>
          </w:tcPr>
          <w:p w14:paraId="0798696F" w14:textId="7332F5B3" w:rsidR="00C437EC" w:rsidRDefault="00C437EC" w:rsidP="00CC134C">
            <w:proofErr w:type="spellStart"/>
            <w:r w:rsidRPr="00C437EC">
              <w:t>Src</w:t>
            </w:r>
            <w:proofErr w:type="spellEnd"/>
          </w:p>
        </w:tc>
        <w:tc>
          <w:tcPr>
            <w:tcW w:w="3120" w:type="dxa"/>
          </w:tcPr>
          <w:p w14:paraId="7D117A59" w14:textId="77777777" w:rsidR="00C437EC" w:rsidRDefault="00C437EC" w:rsidP="00CC134C"/>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21"/>
          <w:footerReference w:type="default" r:id="rId22"/>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18" w:name="_Toc110516425"/>
      <w:r>
        <w:lastRenderedPageBreak/>
        <w:t>Appendix B - Glossary Entries</w:t>
      </w:r>
      <w:bookmarkEnd w:id="18"/>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19" w:name="_Toc110516426"/>
      <w:r>
        <w:t xml:space="preserve">Appendix C </w:t>
      </w:r>
      <w:r w:rsidR="00BD39FB">
        <w:t>-</w:t>
      </w:r>
      <w:r>
        <w:t xml:space="preserve"> Abbreviations</w:t>
      </w:r>
      <w:bookmarkEnd w:id="19"/>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412D8423" w:rsidR="00171BC7" w:rsidRDefault="00EA6C7C" w:rsidP="00414EBB">
            <w:r>
              <w:t>Anonymous</w:t>
            </w:r>
          </w:p>
        </w:tc>
        <w:tc>
          <w:tcPr>
            <w:tcW w:w="2430" w:type="dxa"/>
            <w:tcBorders>
              <w:top w:val="double" w:sz="4" w:space="0" w:color="auto"/>
            </w:tcBorders>
          </w:tcPr>
          <w:p w14:paraId="23C984F7" w14:textId="5A706324" w:rsidR="00171BC7" w:rsidRDefault="00EA6C7C" w:rsidP="00414EBB">
            <w:r>
              <w:t>anonyms</w:t>
            </w:r>
          </w:p>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30E8412C" w:rsidR="00171BC7" w:rsidRDefault="00171BC7" w:rsidP="00414EBB"/>
        </w:tc>
        <w:tc>
          <w:tcPr>
            <w:tcW w:w="2430" w:type="dxa"/>
          </w:tcPr>
          <w:p w14:paraId="2EB93D5A" w14:textId="0017ECE8"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0" w:name="_Toc110516427"/>
      <w:r>
        <w:t>Appendix D</w:t>
      </w:r>
      <w:r w:rsidR="00D001DD">
        <w:t xml:space="preserve"> - Usage Examples</w:t>
      </w:r>
      <w:bookmarkEnd w:id="20"/>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23"/>
      <w:footerReference w:type="default" r:id="rId24"/>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855DD" w15:done="0"/>
  <w15:commentEx w15:paraId="164D5712" w15:done="0"/>
  <w15:commentEx w15:paraId="2B454861" w15:done="0"/>
  <w15:commentEx w15:paraId="4CB250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AFAC" w16cex:dateUtc="2022-08-12T08:53:00Z"/>
  <w16cex:commentExtensible w16cex:durableId="26A0B072" w16cex:dateUtc="2022-08-12T08:56:00Z"/>
  <w16cex:commentExtensible w16cex:durableId="26A0B315" w16cex:dateUtc="2022-08-12T09:08:00Z"/>
  <w16cex:commentExtensible w16cex:durableId="26A0B337" w16cex:dateUtc="2022-08-12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855DD" w16cid:durableId="26A0AFAC"/>
  <w16cid:commentId w16cid:paraId="164D5712" w16cid:durableId="26A0B072"/>
  <w16cid:commentId w16cid:paraId="2B454861" w16cid:durableId="26A0B315"/>
  <w16cid:commentId w16cid:paraId="4CB2500D" w16cid:durableId="26A0B3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1AD6" w14:textId="77777777" w:rsidR="00B77358" w:rsidRDefault="00B77358">
      <w:r>
        <w:separator/>
      </w:r>
    </w:p>
  </w:endnote>
  <w:endnote w:type="continuationSeparator" w:id="0">
    <w:p w14:paraId="5FAFF0DE" w14:textId="77777777" w:rsidR="00B77358" w:rsidRDefault="00B7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0340" w14:textId="77777777" w:rsidR="00222A69" w:rsidRPr="005D628B" w:rsidRDefault="00222A6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222A69" w14:paraId="4DEECDA3" w14:textId="77777777" w:rsidTr="00414EBB">
      <w:tc>
        <w:tcPr>
          <w:tcW w:w="2340" w:type="dxa"/>
        </w:tcPr>
        <w:p w14:paraId="05E96D1E" w14:textId="77777777" w:rsidR="00222A69" w:rsidRDefault="00222A69" w:rsidP="00414EBB">
          <w:pPr>
            <w:pStyle w:val="Footer"/>
            <w:tabs>
              <w:tab w:val="clear" w:pos="8640"/>
              <w:tab w:val="right" w:pos="9360"/>
            </w:tabs>
            <w:jc w:val="right"/>
          </w:pPr>
          <w:r>
            <w:t>Submission Date</w:t>
          </w:r>
        </w:p>
      </w:tc>
      <w:tc>
        <w:tcPr>
          <w:tcW w:w="2340" w:type="dxa"/>
        </w:tcPr>
        <w:p w14:paraId="670BDA95" w14:textId="77777777" w:rsidR="00222A69" w:rsidRDefault="00222A69" w:rsidP="00414EBB">
          <w:pPr>
            <w:pStyle w:val="Footer"/>
            <w:tabs>
              <w:tab w:val="clear" w:pos="8640"/>
              <w:tab w:val="right" w:pos="9360"/>
            </w:tabs>
          </w:pPr>
        </w:p>
      </w:tc>
      <w:tc>
        <w:tcPr>
          <w:tcW w:w="1890" w:type="dxa"/>
        </w:tcPr>
        <w:p w14:paraId="4CCD794B" w14:textId="77777777" w:rsidR="00222A69" w:rsidRDefault="00222A69" w:rsidP="00414EBB">
          <w:pPr>
            <w:pStyle w:val="Footer"/>
            <w:tabs>
              <w:tab w:val="clear" w:pos="4320"/>
              <w:tab w:val="clear" w:pos="8640"/>
              <w:tab w:val="right" w:pos="9360"/>
            </w:tabs>
            <w:jc w:val="right"/>
          </w:pPr>
          <w:r>
            <w:t>Control Number</w:t>
          </w:r>
        </w:p>
      </w:tc>
      <w:tc>
        <w:tcPr>
          <w:tcW w:w="2790" w:type="dxa"/>
        </w:tcPr>
        <w:p w14:paraId="01B3130F" w14:textId="77777777" w:rsidR="00222A69" w:rsidRDefault="00222A69" w:rsidP="00414EBB">
          <w:pPr>
            <w:pStyle w:val="Footer"/>
            <w:tabs>
              <w:tab w:val="clear" w:pos="4320"/>
              <w:tab w:val="clear" w:pos="8640"/>
              <w:tab w:val="center" w:pos="-11268"/>
              <w:tab w:val="right" w:pos="9360"/>
            </w:tabs>
          </w:pPr>
        </w:p>
      </w:tc>
    </w:tr>
    <w:tr w:rsidR="00222A69" w14:paraId="4A9FF2E1" w14:textId="77777777" w:rsidTr="00414EBB">
      <w:tc>
        <w:tcPr>
          <w:tcW w:w="2340" w:type="dxa"/>
        </w:tcPr>
        <w:p w14:paraId="5D53BFFB" w14:textId="77777777" w:rsidR="00222A69" w:rsidRDefault="00222A69" w:rsidP="00414EBB">
          <w:pPr>
            <w:pStyle w:val="Footer"/>
            <w:tabs>
              <w:tab w:val="clear" w:pos="8640"/>
              <w:tab w:val="right" w:pos="9360"/>
            </w:tabs>
            <w:jc w:val="right"/>
          </w:pPr>
          <w:r>
            <w:t>Submission Status</w:t>
          </w:r>
        </w:p>
      </w:tc>
      <w:tc>
        <w:tcPr>
          <w:tcW w:w="2340" w:type="dxa"/>
        </w:tcPr>
        <w:p w14:paraId="70F8E1E3" w14:textId="1C5C8D23" w:rsidR="00222A69" w:rsidRDefault="00222A69" w:rsidP="00414EBB">
          <w:pPr>
            <w:pStyle w:val="Footer"/>
            <w:tabs>
              <w:tab w:val="clear" w:pos="8640"/>
              <w:tab w:val="right" w:pos="9360"/>
            </w:tabs>
          </w:pPr>
          <w:r>
            <w:t>Draft</w:t>
          </w:r>
        </w:p>
      </w:tc>
      <w:tc>
        <w:tcPr>
          <w:tcW w:w="1890" w:type="dxa"/>
        </w:tcPr>
        <w:p w14:paraId="16FEBC46" w14:textId="77777777" w:rsidR="00222A69" w:rsidRDefault="00222A69" w:rsidP="00414EBB">
          <w:pPr>
            <w:pStyle w:val="Footer"/>
            <w:tabs>
              <w:tab w:val="clear" w:pos="8640"/>
              <w:tab w:val="right" w:pos="9360"/>
            </w:tabs>
            <w:jc w:val="right"/>
          </w:pPr>
          <w:r>
            <w:t>Ratified Date</w:t>
          </w:r>
        </w:p>
      </w:tc>
      <w:tc>
        <w:tcPr>
          <w:tcW w:w="2790" w:type="dxa"/>
        </w:tcPr>
        <w:p w14:paraId="4589982E" w14:textId="77777777" w:rsidR="00222A69" w:rsidRDefault="00222A69" w:rsidP="00414EBB">
          <w:pPr>
            <w:pStyle w:val="Footer"/>
            <w:tabs>
              <w:tab w:val="clear" w:pos="8640"/>
              <w:tab w:val="right" w:pos="9360"/>
            </w:tabs>
          </w:pPr>
        </w:p>
      </w:tc>
    </w:tr>
    <w:tr w:rsidR="00222A69" w14:paraId="71C5F345" w14:textId="77777777" w:rsidTr="00414EBB">
      <w:tc>
        <w:tcPr>
          <w:tcW w:w="2340" w:type="dxa"/>
        </w:tcPr>
        <w:p w14:paraId="7535773B" w14:textId="77777777" w:rsidR="00222A69" w:rsidRDefault="00222A69" w:rsidP="00414EBB">
          <w:pPr>
            <w:pStyle w:val="Footer"/>
            <w:tabs>
              <w:tab w:val="clear" w:pos="8640"/>
              <w:tab w:val="right" w:pos="9360"/>
            </w:tabs>
            <w:jc w:val="right"/>
          </w:pPr>
          <w:r>
            <w:t>Primary Contact Person</w:t>
          </w:r>
        </w:p>
      </w:tc>
      <w:tc>
        <w:tcPr>
          <w:tcW w:w="2340" w:type="dxa"/>
        </w:tcPr>
        <w:p w14:paraId="1F2BF5F1" w14:textId="65490062" w:rsidR="00222A69" w:rsidRDefault="00394F12" w:rsidP="00414EBB">
          <w:pPr>
            <w:pStyle w:val="Footer"/>
            <w:tabs>
              <w:tab w:val="clear" w:pos="8640"/>
              <w:tab w:val="right" w:pos="9360"/>
            </w:tabs>
          </w:pPr>
          <w:r>
            <w:t>Hanno Klein, GTC</w:t>
          </w:r>
        </w:p>
      </w:tc>
      <w:tc>
        <w:tcPr>
          <w:tcW w:w="1890" w:type="dxa"/>
        </w:tcPr>
        <w:p w14:paraId="7486DA6A" w14:textId="77777777" w:rsidR="00222A69" w:rsidRDefault="00222A69" w:rsidP="00414EBB">
          <w:pPr>
            <w:pStyle w:val="Footer"/>
            <w:tabs>
              <w:tab w:val="clear" w:pos="8640"/>
              <w:tab w:val="right" w:pos="9360"/>
            </w:tabs>
            <w:jc w:val="right"/>
          </w:pPr>
          <w:r>
            <w:t>Release Identifier</w:t>
          </w:r>
        </w:p>
      </w:tc>
      <w:tc>
        <w:tcPr>
          <w:tcW w:w="2790" w:type="dxa"/>
        </w:tcPr>
        <w:p w14:paraId="747619BA" w14:textId="77777777" w:rsidR="00222A69" w:rsidRDefault="00222A69" w:rsidP="00414EBB">
          <w:pPr>
            <w:pStyle w:val="Footer"/>
            <w:tabs>
              <w:tab w:val="clear" w:pos="8640"/>
              <w:tab w:val="right" w:pos="9360"/>
            </w:tabs>
          </w:pPr>
        </w:p>
      </w:tc>
    </w:tr>
  </w:tbl>
  <w:p w14:paraId="5212A443" w14:textId="77777777" w:rsidR="00222A69" w:rsidRDefault="00222A69" w:rsidP="008F72BB">
    <w:pPr>
      <w:pStyle w:val="Footer"/>
      <w:tabs>
        <w:tab w:val="clear" w:pos="8640"/>
        <w:tab w:val="right" w:pos="9360"/>
      </w:tabs>
    </w:pPr>
  </w:p>
  <w:p w14:paraId="30348478" w14:textId="73A8B2D2" w:rsidR="00222A69" w:rsidRDefault="00222A69" w:rsidP="005D628B">
    <w:pPr>
      <w:pStyle w:val="Footer"/>
      <w:tabs>
        <w:tab w:val="clear" w:pos="8640"/>
        <w:tab w:val="right" w:pos="9360"/>
      </w:tabs>
    </w:pPr>
    <w:r>
      <w:sym w:font="Symbol" w:char="F0D3"/>
    </w:r>
    <w:r>
      <w:t xml:space="preserve"> Copyright, 2011-2022, FIX Protocol, Limited</w:t>
    </w:r>
  </w:p>
  <w:p w14:paraId="69CAB92C" w14:textId="24817EEC" w:rsidR="00222A69" w:rsidRPr="00DD44E0" w:rsidRDefault="00222A6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44DC" w14:textId="24863E7D" w:rsidR="00222A69" w:rsidRDefault="00222A69" w:rsidP="00640B1F">
    <w:pPr>
      <w:pStyle w:val="Footer"/>
      <w:pBdr>
        <w:top w:val="single" w:sz="4" w:space="1" w:color="auto"/>
      </w:pBdr>
      <w:tabs>
        <w:tab w:val="clear" w:pos="8640"/>
        <w:tab w:val="right" w:pos="93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sidR="00BD4AF1">
      <w:rPr>
        <w:noProof/>
      </w:rPr>
      <w:t>5</w:t>
    </w:r>
    <w:r>
      <w:rPr>
        <w:noProof/>
      </w:rPr>
      <w:fldChar w:fldCharType="end"/>
    </w:r>
    <w:r>
      <w:t xml:space="preserve"> of </w:t>
    </w:r>
    <w:r>
      <w:fldChar w:fldCharType="begin"/>
    </w:r>
    <w:r>
      <w:instrText xml:space="preserve"> NUMPAGES </w:instrText>
    </w:r>
    <w:r>
      <w:fldChar w:fldCharType="separate"/>
    </w:r>
    <w:r w:rsidR="00BD4AF1">
      <w:rPr>
        <w:noProof/>
      </w:rPr>
      <w:t>12</w:t>
    </w:r>
    <w:r>
      <w:rPr>
        <w:noProof/>
      </w:rPr>
      <w:fldChar w:fldCharType="end"/>
    </w:r>
  </w:p>
  <w:p w14:paraId="766B93C5" w14:textId="63E582BC" w:rsidR="00222A69" w:rsidRPr="00DD44E0" w:rsidRDefault="00222A69"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1920F" w14:textId="77777777" w:rsidR="00222A69" w:rsidRDefault="00222A69" w:rsidP="000D6306">
    <w:pPr>
      <w:pStyle w:val="Footer"/>
      <w:pBdr>
        <w:top w:val="single" w:sz="4" w:space="1" w:color="auto"/>
      </w:pBdr>
      <w:tabs>
        <w:tab w:val="clear" w:pos="8640"/>
        <w:tab w:val="right" w:pos="129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sidR="003E4C9D">
      <w:rPr>
        <w:noProof/>
      </w:rPr>
      <w:t>11</w:t>
    </w:r>
    <w:r>
      <w:rPr>
        <w:noProof/>
      </w:rPr>
      <w:fldChar w:fldCharType="end"/>
    </w:r>
    <w:r>
      <w:t xml:space="preserve"> of </w:t>
    </w:r>
    <w:r>
      <w:fldChar w:fldCharType="begin"/>
    </w:r>
    <w:r>
      <w:instrText xml:space="preserve"> NUMPAGES </w:instrText>
    </w:r>
    <w:r>
      <w:fldChar w:fldCharType="separate"/>
    </w:r>
    <w:r w:rsidR="003E4C9D">
      <w:rPr>
        <w:noProof/>
      </w:rPr>
      <w:t>11</w:t>
    </w:r>
    <w:r>
      <w:rPr>
        <w:noProof/>
      </w:rPr>
      <w:fldChar w:fldCharType="end"/>
    </w:r>
  </w:p>
  <w:p w14:paraId="215D1A4D" w14:textId="77777777" w:rsidR="00222A69" w:rsidRPr="00DD44E0" w:rsidRDefault="00222A69"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10A6" w14:textId="77777777" w:rsidR="00222A69" w:rsidRDefault="00222A69" w:rsidP="00640B1F">
    <w:pPr>
      <w:pStyle w:val="Footer"/>
      <w:pBdr>
        <w:top w:val="single" w:sz="4" w:space="1" w:color="auto"/>
      </w:pBdr>
      <w:tabs>
        <w:tab w:val="clear" w:pos="8640"/>
        <w:tab w:val="right" w:pos="93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sidR="003E4C9D">
      <w:rPr>
        <w:noProof/>
      </w:rPr>
      <w:t>12</w:t>
    </w:r>
    <w:r>
      <w:rPr>
        <w:noProof/>
      </w:rPr>
      <w:fldChar w:fldCharType="end"/>
    </w:r>
    <w:r>
      <w:t xml:space="preserve"> of </w:t>
    </w:r>
    <w:r>
      <w:fldChar w:fldCharType="begin"/>
    </w:r>
    <w:r>
      <w:instrText xml:space="preserve"> NUMPAGES </w:instrText>
    </w:r>
    <w:r>
      <w:fldChar w:fldCharType="separate"/>
    </w:r>
    <w:r w:rsidR="003E4C9D">
      <w:rPr>
        <w:noProof/>
      </w:rPr>
      <w:t>12</w:t>
    </w:r>
    <w:r>
      <w:rPr>
        <w:noProof/>
      </w:rPr>
      <w:fldChar w:fldCharType="end"/>
    </w:r>
  </w:p>
  <w:p w14:paraId="718099A7" w14:textId="77777777" w:rsidR="00222A69" w:rsidRPr="00DD44E0" w:rsidRDefault="00222A6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BDFF" w14:textId="77777777" w:rsidR="00B77358" w:rsidRDefault="00B77358">
      <w:r>
        <w:separator/>
      </w:r>
    </w:p>
  </w:footnote>
  <w:footnote w:type="continuationSeparator" w:id="0">
    <w:p w14:paraId="06EFB07A" w14:textId="77777777" w:rsidR="00B77358" w:rsidRDefault="00B77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89BC" w14:textId="77777777" w:rsidR="00222A69" w:rsidRDefault="00222A69"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0292" w14:textId="5ED4DCCC" w:rsidR="00222A69" w:rsidRPr="00E56E06" w:rsidRDefault="00222A69" w:rsidP="00D873DF">
    <w:pPr>
      <w:rPr>
        <w:szCs w:val="22"/>
      </w:rPr>
    </w:pPr>
    <w:r w:rsidRPr="00E56E06">
      <w:rPr>
        <w:szCs w:val="22"/>
      </w:rPr>
      <w:fldChar w:fldCharType="begin"/>
    </w:r>
    <w:r w:rsidRPr="00E56E06">
      <w:rPr>
        <w:szCs w:val="22"/>
      </w:rPr>
      <w:instrText xml:space="preserve"> REF  DocTitle  \* MERGEFORMAT </w:instrText>
    </w:r>
    <w:r w:rsidRPr="00E56E06">
      <w:rPr>
        <w:szCs w:val="22"/>
      </w:rPr>
      <w:fldChar w:fldCharType="separate"/>
    </w:r>
    <w:r w:rsidRPr="00222A69">
      <w:rPr>
        <w:szCs w:val="22"/>
      </w:rPr>
      <w:t xml:space="preserve"> </w:t>
    </w:r>
    <w:proofErr w:type="spellStart"/>
    <w:r w:rsidRPr="00222A69">
      <w:rPr>
        <w:szCs w:val="22"/>
      </w:rPr>
      <w:t>RegulatoryTradeIDGrp</w:t>
    </w:r>
    <w:proofErr w:type="spellEnd"/>
    <w:r w:rsidRPr="00222A69">
      <w:rPr>
        <w:szCs w:val="22"/>
      </w:rPr>
      <w:t xml:space="preserve"> Enhancements </w:t>
    </w:r>
    <w:r w:rsidRPr="00E56E06">
      <w:rPr>
        <w:szCs w:val="22"/>
      </w:rPr>
      <w:fldChar w:fldCharType="end"/>
    </w:r>
  </w:p>
  <w:p w14:paraId="79F26032" w14:textId="1941E03D" w:rsidR="00222A69" w:rsidRPr="00652D01" w:rsidRDefault="00C22A0C" w:rsidP="000D6306">
    <w:pPr>
      <w:pBdr>
        <w:bottom w:val="single" w:sz="4" w:space="1" w:color="auto"/>
      </w:pBdr>
      <w:tabs>
        <w:tab w:val="right" w:pos="9360"/>
      </w:tabs>
      <w:spacing w:after="120"/>
      <w:rPr>
        <w:szCs w:val="20"/>
      </w:rPr>
    </w:pPr>
    <w:fldSimple w:instr=" FILENAME   \* MERGEFORMAT ">
      <w:r w:rsidR="003E4C9D" w:rsidRPr="003E4C9D">
        <w:rPr>
          <w:noProof/>
          <w:szCs w:val="20"/>
        </w:rPr>
        <w:t>FIX Protocol Gap Analysis - RegulatoryTradeIDGrp Enhancement</w:t>
      </w:r>
      <w:r w:rsidR="003E4C9D">
        <w:rPr>
          <w:noProof/>
        </w:rPr>
        <w:t xml:space="preserve"> v0.2.docx</w:t>
      </w:r>
    </w:fldSimple>
    <w:r w:rsidR="00222A69">
      <w:rPr>
        <w:noProof/>
        <w:szCs w:val="20"/>
      </w:rPr>
      <w:tab/>
    </w:r>
    <w:fldSimple w:instr=" REF  RevDate  \* MERGEFORMAT ">
      <w:r w:rsidR="003E4C9D" w:rsidRPr="003E4C9D">
        <w:rPr>
          <w:szCs w:val="20"/>
        </w:rPr>
        <w:t xml:space="preserve"> August 15, 2022 </w:t>
      </w:r>
    </w:fldSimple>
    <w:r w:rsidR="00222A69" w:rsidRPr="00103231">
      <w:rPr>
        <w:szCs w:val="20"/>
      </w:rPr>
      <w:t xml:space="preserve"> - </w:t>
    </w:r>
    <w:fldSimple w:instr=" REF  RevNum  \* MERGEFORMAT ">
      <w:r w:rsidR="003E4C9D" w:rsidRPr="003E4C9D">
        <w:rPr>
          <w:szCs w:val="20"/>
        </w:rPr>
        <w:t xml:space="preserve"> v0.2 </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A126" w14:textId="39CE165B" w:rsidR="00222A69" w:rsidRPr="00E56E06" w:rsidRDefault="00222A69" w:rsidP="00D873DF">
    <w:pPr>
      <w:rPr>
        <w:szCs w:val="22"/>
      </w:rPr>
    </w:pPr>
    <w:r w:rsidRPr="00E56E06">
      <w:rPr>
        <w:szCs w:val="22"/>
      </w:rPr>
      <w:fldChar w:fldCharType="begin"/>
    </w:r>
    <w:r w:rsidRPr="00E56E06">
      <w:rPr>
        <w:szCs w:val="22"/>
      </w:rPr>
      <w:instrText xml:space="preserve"> REF  DocTitle  \* MERGEFORMAT </w:instrText>
    </w:r>
    <w:r w:rsidRPr="00E56E06">
      <w:rPr>
        <w:szCs w:val="22"/>
      </w:rPr>
      <w:fldChar w:fldCharType="separate"/>
    </w:r>
    <w:r w:rsidRPr="007128DC">
      <w:rPr>
        <w:szCs w:val="22"/>
      </w:rPr>
      <w:t xml:space="preserve"> Anonymous Trade Indicator Extension </w:t>
    </w:r>
    <w:r w:rsidRPr="00E56E06">
      <w:rPr>
        <w:szCs w:val="22"/>
      </w:rPr>
      <w:fldChar w:fldCharType="end"/>
    </w:r>
  </w:p>
  <w:p w14:paraId="3C7DE919" w14:textId="1544B076" w:rsidR="00222A69" w:rsidRPr="00652D01" w:rsidRDefault="00C22A0C" w:rsidP="000D6306">
    <w:pPr>
      <w:pBdr>
        <w:bottom w:val="single" w:sz="4" w:space="1" w:color="auto"/>
      </w:pBdr>
      <w:tabs>
        <w:tab w:val="right" w:pos="12960"/>
      </w:tabs>
      <w:rPr>
        <w:szCs w:val="20"/>
      </w:rPr>
    </w:pPr>
    <w:fldSimple w:instr=" FILENAME   \* MERGEFORMAT ">
      <w:r w:rsidR="00222A69" w:rsidRPr="007128DC">
        <w:rPr>
          <w:noProof/>
          <w:szCs w:val="20"/>
        </w:rPr>
        <w:t>FIX Protocol Gap Analysis - Anonymous Trade</w:t>
      </w:r>
      <w:r w:rsidR="00222A69">
        <w:rPr>
          <w:noProof/>
        </w:rPr>
        <w:t xml:space="preserve"> Indicator Extension v0.2.docx</w:t>
      </w:r>
    </w:fldSimple>
    <w:r w:rsidR="00222A69">
      <w:rPr>
        <w:noProof/>
        <w:szCs w:val="20"/>
      </w:rPr>
      <w:tab/>
    </w:r>
    <w:fldSimple w:instr=" REF  RevDate  \* MERGEFORMAT ">
      <w:r w:rsidR="00222A69" w:rsidRPr="007128DC">
        <w:rPr>
          <w:szCs w:val="20"/>
        </w:rPr>
        <w:t xml:space="preserve"> August 2, 2022 </w:t>
      </w:r>
    </w:fldSimple>
    <w:r w:rsidR="00222A69" w:rsidRPr="00103231">
      <w:rPr>
        <w:szCs w:val="20"/>
      </w:rPr>
      <w:t xml:space="preserve"> - </w:t>
    </w:r>
    <w:fldSimple w:instr=" REF  RevNum  \* MERGEFORMAT ">
      <w:r w:rsidR="00222A69" w:rsidRPr="007128DC">
        <w:rPr>
          <w:szCs w:val="20"/>
        </w:rPr>
        <w:t xml:space="preserve"> v0.2 </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EFD5" w14:textId="7C33B96B" w:rsidR="00222A69" w:rsidRPr="00E56E06" w:rsidRDefault="00222A69" w:rsidP="00D873DF">
    <w:pPr>
      <w:rPr>
        <w:szCs w:val="22"/>
      </w:rPr>
    </w:pPr>
    <w:r w:rsidRPr="00E56E06">
      <w:rPr>
        <w:szCs w:val="22"/>
      </w:rPr>
      <w:fldChar w:fldCharType="begin"/>
    </w:r>
    <w:r w:rsidRPr="00E56E06">
      <w:rPr>
        <w:szCs w:val="22"/>
      </w:rPr>
      <w:instrText xml:space="preserve"> REF  DocTitle  \* MERGEFORMAT </w:instrText>
    </w:r>
    <w:r w:rsidRPr="00E56E06">
      <w:rPr>
        <w:szCs w:val="22"/>
      </w:rPr>
      <w:fldChar w:fldCharType="separate"/>
    </w:r>
    <w:r w:rsidRPr="007128DC">
      <w:rPr>
        <w:szCs w:val="22"/>
      </w:rPr>
      <w:t xml:space="preserve"> Anonymous Trade Indicator Extension </w:t>
    </w:r>
    <w:r w:rsidRPr="00E56E06">
      <w:rPr>
        <w:szCs w:val="22"/>
      </w:rPr>
      <w:fldChar w:fldCharType="end"/>
    </w:r>
  </w:p>
  <w:p w14:paraId="7CDC9BBC" w14:textId="0D250271" w:rsidR="00222A69" w:rsidRPr="00652D01" w:rsidRDefault="00C22A0C" w:rsidP="000D6306">
    <w:pPr>
      <w:pBdr>
        <w:bottom w:val="single" w:sz="4" w:space="1" w:color="auto"/>
      </w:pBdr>
      <w:tabs>
        <w:tab w:val="right" w:pos="9360"/>
      </w:tabs>
      <w:rPr>
        <w:szCs w:val="20"/>
      </w:rPr>
    </w:pPr>
    <w:fldSimple w:instr=" FILENAME   \* MERGEFORMAT ">
      <w:r w:rsidR="00222A69" w:rsidRPr="007128DC">
        <w:rPr>
          <w:noProof/>
          <w:szCs w:val="20"/>
        </w:rPr>
        <w:t>FIX Protocol Gap Analysis - Anonymous Trade</w:t>
      </w:r>
      <w:r w:rsidR="00222A69">
        <w:rPr>
          <w:noProof/>
        </w:rPr>
        <w:t xml:space="preserve"> Indicator Extension v0.2.docx</w:t>
      </w:r>
    </w:fldSimple>
    <w:r w:rsidR="00222A69">
      <w:rPr>
        <w:noProof/>
        <w:szCs w:val="20"/>
      </w:rPr>
      <w:tab/>
    </w:r>
    <w:fldSimple w:instr=" REF  RevDate  \* MERGEFORMAT ">
      <w:r w:rsidR="00222A69" w:rsidRPr="007128DC">
        <w:rPr>
          <w:szCs w:val="20"/>
        </w:rPr>
        <w:t xml:space="preserve"> August 2, 2022 </w:t>
      </w:r>
    </w:fldSimple>
    <w:r w:rsidR="00222A69" w:rsidRPr="00103231">
      <w:rPr>
        <w:szCs w:val="20"/>
      </w:rPr>
      <w:t xml:space="preserve"> - </w:t>
    </w:r>
    <w:fldSimple w:instr=" REF  RevNum  \* MERGEFORMAT ">
      <w:r w:rsidR="00222A69" w:rsidRPr="007128DC">
        <w:rPr>
          <w:szCs w:val="20"/>
        </w:rPr>
        <w:t xml:space="preserve"> v0.2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BB458B"/>
    <w:multiLevelType w:val="hybridMultilevel"/>
    <w:tmpl w:val="4E7E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B33C1"/>
    <w:multiLevelType w:val="hybridMultilevel"/>
    <w:tmpl w:val="539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1382F"/>
    <w:multiLevelType w:val="hybridMultilevel"/>
    <w:tmpl w:val="348C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5"/>
  </w:num>
  <w:num w:numId="6">
    <w:abstractNumId w:val="6"/>
  </w:num>
  <w:num w:numId="7">
    <w:abstractNumId w:val="4"/>
  </w:num>
  <w:num w:numId="8">
    <w:abstractNumId w:val="0"/>
  </w:num>
  <w:num w:numId="9">
    <w:abstractNumId w:val="0"/>
  </w:num>
  <w:num w:numId="10">
    <w:abstractNumId w:val="0"/>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o Klein">
    <w15:presenceInfo w15:providerId="Windows Live" w15:userId="f73d41c06e986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04C28"/>
    <w:rsid w:val="000116D8"/>
    <w:rsid w:val="00033091"/>
    <w:rsid w:val="000363A9"/>
    <w:rsid w:val="00041A12"/>
    <w:rsid w:val="00042688"/>
    <w:rsid w:val="000640B0"/>
    <w:rsid w:val="000906B4"/>
    <w:rsid w:val="000A677C"/>
    <w:rsid w:val="000A6DDA"/>
    <w:rsid w:val="000B410A"/>
    <w:rsid w:val="000B5BF6"/>
    <w:rsid w:val="000C3277"/>
    <w:rsid w:val="000D6306"/>
    <w:rsid w:val="000D6351"/>
    <w:rsid w:val="000D72D1"/>
    <w:rsid w:val="000E37C3"/>
    <w:rsid w:val="000E4635"/>
    <w:rsid w:val="000F05F3"/>
    <w:rsid w:val="000F0EE9"/>
    <w:rsid w:val="00116FD0"/>
    <w:rsid w:val="001224E5"/>
    <w:rsid w:val="00132FEC"/>
    <w:rsid w:val="00142D98"/>
    <w:rsid w:val="0014781F"/>
    <w:rsid w:val="00163CFE"/>
    <w:rsid w:val="00171BC7"/>
    <w:rsid w:val="00172ACC"/>
    <w:rsid w:val="0019025B"/>
    <w:rsid w:val="001A7F4E"/>
    <w:rsid w:val="001B4C2C"/>
    <w:rsid w:val="001B66A8"/>
    <w:rsid w:val="001D7CFF"/>
    <w:rsid w:val="001F5CF8"/>
    <w:rsid w:val="00222A69"/>
    <w:rsid w:val="00244CC5"/>
    <w:rsid w:val="002538F6"/>
    <w:rsid w:val="002671A6"/>
    <w:rsid w:val="00283614"/>
    <w:rsid w:val="002C71BF"/>
    <w:rsid w:val="002D3A24"/>
    <w:rsid w:val="002E7FCD"/>
    <w:rsid w:val="002F670F"/>
    <w:rsid w:val="0031072B"/>
    <w:rsid w:val="00312C37"/>
    <w:rsid w:val="003318F4"/>
    <w:rsid w:val="00331B08"/>
    <w:rsid w:val="00344802"/>
    <w:rsid w:val="003704FE"/>
    <w:rsid w:val="00394651"/>
    <w:rsid w:val="00394F12"/>
    <w:rsid w:val="003C35DC"/>
    <w:rsid w:val="003C442B"/>
    <w:rsid w:val="003D3414"/>
    <w:rsid w:val="003E2E1B"/>
    <w:rsid w:val="003E4C9D"/>
    <w:rsid w:val="003F27AC"/>
    <w:rsid w:val="00403113"/>
    <w:rsid w:val="004109C7"/>
    <w:rsid w:val="00414EBB"/>
    <w:rsid w:val="0043045D"/>
    <w:rsid w:val="00433D0E"/>
    <w:rsid w:val="00445FCC"/>
    <w:rsid w:val="004610B0"/>
    <w:rsid w:val="004829A2"/>
    <w:rsid w:val="004A03CA"/>
    <w:rsid w:val="004A2C91"/>
    <w:rsid w:val="004A3B9E"/>
    <w:rsid w:val="004B1CC7"/>
    <w:rsid w:val="004C5FAF"/>
    <w:rsid w:val="004E1E17"/>
    <w:rsid w:val="004E3F32"/>
    <w:rsid w:val="004F20B7"/>
    <w:rsid w:val="004F59AA"/>
    <w:rsid w:val="00520C30"/>
    <w:rsid w:val="00527264"/>
    <w:rsid w:val="00563119"/>
    <w:rsid w:val="00583464"/>
    <w:rsid w:val="00584E97"/>
    <w:rsid w:val="00592FF5"/>
    <w:rsid w:val="00595D9C"/>
    <w:rsid w:val="005B57A2"/>
    <w:rsid w:val="005C2A42"/>
    <w:rsid w:val="005D628B"/>
    <w:rsid w:val="0061223B"/>
    <w:rsid w:val="00640B1F"/>
    <w:rsid w:val="00652D01"/>
    <w:rsid w:val="00676087"/>
    <w:rsid w:val="00696841"/>
    <w:rsid w:val="006C1ED9"/>
    <w:rsid w:val="006C2CC2"/>
    <w:rsid w:val="006D51E3"/>
    <w:rsid w:val="007128DC"/>
    <w:rsid w:val="0074234B"/>
    <w:rsid w:val="00757739"/>
    <w:rsid w:val="007600CB"/>
    <w:rsid w:val="0076019B"/>
    <w:rsid w:val="007706C9"/>
    <w:rsid w:val="007C0167"/>
    <w:rsid w:val="007C34C0"/>
    <w:rsid w:val="007E03BB"/>
    <w:rsid w:val="007E4A25"/>
    <w:rsid w:val="007F233D"/>
    <w:rsid w:val="007F5D1F"/>
    <w:rsid w:val="0080139B"/>
    <w:rsid w:val="00810B82"/>
    <w:rsid w:val="00834889"/>
    <w:rsid w:val="00847261"/>
    <w:rsid w:val="0084776A"/>
    <w:rsid w:val="00853CEE"/>
    <w:rsid w:val="00882A2F"/>
    <w:rsid w:val="00884DCF"/>
    <w:rsid w:val="008922DD"/>
    <w:rsid w:val="0089277B"/>
    <w:rsid w:val="008B6EDD"/>
    <w:rsid w:val="008C1910"/>
    <w:rsid w:val="008C7F9E"/>
    <w:rsid w:val="008F28BD"/>
    <w:rsid w:val="008F72BB"/>
    <w:rsid w:val="009011E6"/>
    <w:rsid w:val="00901989"/>
    <w:rsid w:val="00903A35"/>
    <w:rsid w:val="00925103"/>
    <w:rsid w:val="009651DD"/>
    <w:rsid w:val="00970E9E"/>
    <w:rsid w:val="00973E86"/>
    <w:rsid w:val="0097609E"/>
    <w:rsid w:val="00994E1B"/>
    <w:rsid w:val="009B17A4"/>
    <w:rsid w:val="009B2037"/>
    <w:rsid w:val="009D4778"/>
    <w:rsid w:val="009E6F16"/>
    <w:rsid w:val="00A0045E"/>
    <w:rsid w:val="00A00614"/>
    <w:rsid w:val="00A01B5A"/>
    <w:rsid w:val="00A1162B"/>
    <w:rsid w:val="00A44372"/>
    <w:rsid w:val="00A47DCC"/>
    <w:rsid w:val="00A90838"/>
    <w:rsid w:val="00A90B51"/>
    <w:rsid w:val="00AA2080"/>
    <w:rsid w:val="00AA55EC"/>
    <w:rsid w:val="00AA5A94"/>
    <w:rsid w:val="00AB0E8E"/>
    <w:rsid w:val="00AB2374"/>
    <w:rsid w:val="00AB36DF"/>
    <w:rsid w:val="00AC76DD"/>
    <w:rsid w:val="00AD110C"/>
    <w:rsid w:val="00AD37B3"/>
    <w:rsid w:val="00B062EF"/>
    <w:rsid w:val="00B213BE"/>
    <w:rsid w:val="00B42391"/>
    <w:rsid w:val="00B437D1"/>
    <w:rsid w:val="00B60964"/>
    <w:rsid w:val="00B771AD"/>
    <w:rsid w:val="00B77358"/>
    <w:rsid w:val="00B918B4"/>
    <w:rsid w:val="00BA2A9B"/>
    <w:rsid w:val="00BA62DA"/>
    <w:rsid w:val="00BB39AF"/>
    <w:rsid w:val="00BB510E"/>
    <w:rsid w:val="00BB752B"/>
    <w:rsid w:val="00BD14CC"/>
    <w:rsid w:val="00BD39FB"/>
    <w:rsid w:val="00BD4AF1"/>
    <w:rsid w:val="00BE2DF5"/>
    <w:rsid w:val="00BE5C1B"/>
    <w:rsid w:val="00BF05B7"/>
    <w:rsid w:val="00BF2B75"/>
    <w:rsid w:val="00C027F9"/>
    <w:rsid w:val="00C22A0C"/>
    <w:rsid w:val="00C25F4C"/>
    <w:rsid w:val="00C437EC"/>
    <w:rsid w:val="00C55E51"/>
    <w:rsid w:val="00CB0E71"/>
    <w:rsid w:val="00CB23A6"/>
    <w:rsid w:val="00CC134C"/>
    <w:rsid w:val="00CF1441"/>
    <w:rsid w:val="00CF26FD"/>
    <w:rsid w:val="00D001DD"/>
    <w:rsid w:val="00D07DED"/>
    <w:rsid w:val="00D10E43"/>
    <w:rsid w:val="00D1601F"/>
    <w:rsid w:val="00D22F2F"/>
    <w:rsid w:val="00D348C4"/>
    <w:rsid w:val="00D50268"/>
    <w:rsid w:val="00D50272"/>
    <w:rsid w:val="00D7117B"/>
    <w:rsid w:val="00D757F6"/>
    <w:rsid w:val="00D84744"/>
    <w:rsid w:val="00D873DF"/>
    <w:rsid w:val="00D9639E"/>
    <w:rsid w:val="00DA2E5D"/>
    <w:rsid w:val="00DC6183"/>
    <w:rsid w:val="00DD44E0"/>
    <w:rsid w:val="00DF412F"/>
    <w:rsid w:val="00E02ECC"/>
    <w:rsid w:val="00E20540"/>
    <w:rsid w:val="00E35297"/>
    <w:rsid w:val="00E36BED"/>
    <w:rsid w:val="00E56E06"/>
    <w:rsid w:val="00E61940"/>
    <w:rsid w:val="00E6306B"/>
    <w:rsid w:val="00E90785"/>
    <w:rsid w:val="00E939C3"/>
    <w:rsid w:val="00E94DB2"/>
    <w:rsid w:val="00EA357B"/>
    <w:rsid w:val="00EA6C7C"/>
    <w:rsid w:val="00EC5659"/>
    <w:rsid w:val="00ED1FB9"/>
    <w:rsid w:val="00EE79FE"/>
    <w:rsid w:val="00EF1112"/>
    <w:rsid w:val="00EF16D1"/>
    <w:rsid w:val="00EF2080"/>
    <w:rsid w:val="00EF22B3"/>
    <w:rsid w:val="00F005C6"/>
    <w:rsid w:val="00F03DD0"/>
    <w:rsid w:val="00F12DC4"/>
    <w:rsid w:val="00F2510C"/>
    <w:rsid w:val="00F47594"/>
    <w:rsid w:val="00F85F52"/>
    <w:rsid w:val="00FA3D6B"/>
    <w:rsid w:val="00FB6AF6"/>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UnresolvedMention1">
    <w:name w:val="Unresolved Mention1"/>
    <w:basedOn w:val="DefaultParagraphFont"/>
    <w:uiPriority w:val="99"/>
    <w:semiHidden/>
    <w:unhideWhenUsed/>
    <w:rsid w:val="007C34C0"/>
    <w:rPr>
      <w:color w:val="605E5C"/>
      <w:shd w:val="clear" w:color="auto" w:fill="E1DFDD"/>
    </w:rPr>
  </w:style>
  <w:style w:type="paragraph" w:customStyle="1" w:styleId="TableParagraph">
    <w:name w:val="Table Paragraph"/>
    <w:basedOn w:val="Normal"/>
    <w:qFormat/>
    <w:rsid w:val="00C027F9"/>
    <w:pPr>
      <w:spacing w:after="60"/>
    </w:pPr>
    <w:rPr>
      <w:sz w:val="20"/>
    </w:rPr>
  </w:style>
  <w:style w:type="character" w:customStyle="1" w:styleId="BodyTextChar">
    <w:name w:val="Body Text Char"/>
    <w:basedOn w:val="DefaultParagraphFont"/>
    <w:link w:val="BodyText"/>
    <w:rsid w:val="007E4A25"/>
    <w:rPr>
      <w:rFonts w:asciiTheme="minorHAnsi" w:hAnsiTheme="minorHAnsi"/>
      <w:sz w:val="22"/>
      <w:szCs w:val="24"/>
      <w:lang w:val="en-US" w:eastAsia="en-US"/>
    </w:rPr>
  </w:style>
  <w:style w:type="character" w:styleId="FollowedHyperlink">
    <w:name w:val="FollowedHyperlink"/>
    <w:basedOn w:val="DefaultParagraphFont"/>
    <w:semiHidden/>
    <w:unhideWhenUsed/>
    <w:rsid w:val="000D6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UnresolvedMention1">
    <w:name w:val="Unresolved Mention1"/>
    <w:basedOn w:val="DefaultParagraphFont"/>
    <w:uiPriority w:val="99"/>
    <w:semiHidden/>
    <w:unhideWhenUsed/>
    <w:rsid w:val="007C34C0"/>
    <w:rPr>
      <w:color w:val="605E5C"/>
      <w:shd w:val="clear" w:color="auto" w:fill="E1DFDD"/>
    </w:rPr>
  </w:style>
  <w:style w:type="paragraph" w:customStyle="1" w:styleId="TableParagraph">
    <w:name w:val="Table Paragraph"/>
    <w:basedOn w:val="Normal"/>
    <w:qFormat/>
    <w:rsid w:val="00C027F9"/>
    <w:pPr>
      <w:spacing w:after="60"/>
    </w:pPr>
    <w:rPr>
      <w:sz w:val="20"/>
    </w:rPr>
  </w:style>
  <w:style w:type="character" w:customStyle="1" w:styleId="BodyTextChar">
    <w:name w:val="Body Text Char"/>
    <w:basedOn w:val="DefaultParagraphFont"/>
    <w:link w:val="BodyText"/>
    <w:rsid w:val="007E4A25"/>
    <w:rPr>
      <w:rFonts w:asciiTheme="minorHAnsi" w:hAnsiTheme="minorHAnsi"/>
      <w:sz w:val="22"/>
      <w:szCs w:val="24"/>
      <w:lang w:val="en-US" w:eastAsia="en-US"/>
    </w:rPr>
  </w:style>
  <w:style w:type="character" w:styleId="FollowedHyperlink">
    <w:name w:val="FollowedHyperlink"/>
    <w:basedOn w:val="DefaultParagraphFont"/>
    <w:semiHidden/>
    <w:unhideWhenUsed/>
    <w:rsid w:val="000D6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cftc.gov/sites/default/files/idc/groups/public/@swaps/documents/dfsubmission/usidatastandards10011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reativecommons.org/licenses/by-nd/4.0/"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ftc.gov/sites/default/files/idc/groups/public/@swaps/documents/dfsubmission/usidatastandards100112.pdf" TargetMode="Externa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cftc.gov/media/3496/DMO_Part43_45TechnicalSpecification022020/download" TargetMode="External"/><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reativecommons.org/licenses/by-nd/4.0/" TargetMode="External"/><Relationship Id="rId22" Type="http://schemas.openxmlformats.org/officeDocument/2006/relationships/footer" Target="footer3.xml"/><Relationship Id="rId27" Type="http://schemas.microsoft.com/office/2018/08/relationships/commentsExtensible" Target="commentsExtensi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1017-671E-404D-9CC5-B98429C7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11582</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Administrator</dc:creator>
  <cp:lastModifiedBy>Administrator</cp:lastModifiedBy>
  <cp:revision>6</cp:revision>
  <cp:lastPrinted>2022-08-04T12:39:00Z</cp:lastPrinted>
  <dcterms:created xsi:type="dcterms:W3CDTF">2022-08-15T12:16:00Z</dcterms:created>
  <dcterms:modified xsi:type="dcterms:W3CDTF">2022-08-15T12:25:00Z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