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26C7652C" w:rsidR="00D873DF" w:rsidRDefault="008E53AC" w:rsidP="00A60C32">
      <w:pPr>
        <w:pStyle w:val="Title"/>
        <w:outlineLvl w:val="9"/>
        <w:rPr>
          <w:sz w:val="40"/>
          <w:szCs w:val="40"/>
        </w:rPr>
      </w:pPr>
      <w:r>
        <w:rPr>
          <w:sz w:val="40"/>
          <w:szCs w:val="40"/>
        </w:rPr>
        <w:t>FI</w:t>
      </w:r>
      <w:r w:rsidR="005441DD">
        <w:rPr>
          <w:sz w:val="40"/>
          <w:szCs w:val="40"/>
        </w:rPr>
        <w:t>F</w:t>
      </w:r>
      <w:r w:rsidR="003E2C11">
        <w:rPr>
          <w:sz w:val="40"/>
          <w:szCs w:val="40"/>
        </w:rPr>
        <w:t>/FI</w:t>
      </w:r>
      <w:r w:rsidR="005441DD">
        <w:rPr>
          <w:sz w:val="40"/>
          <w:szCs w:val="40"/>
        </w:rPr>
        <w:t>X</w:t>
      </w:r>
      <w:r>
        <w:rPr>
          <w:sz w:val="40"/>
          <w:szCs w:val="40"/>
        </w:rPr>
        <w:t xml:space="preserve"> </w:t>
      </w:r>
      <w:r w:rsidR="005441DD">
        <w:rPr>
          <w:sz w:val="40"/>
          <w:szCs w:val="40"/>
        </w:rPr>
        <w:t xml:space="preserve">Regulatory </w:t>
      </w:r>
      <w:r w:rsidR="003D5C59">
        <w:rPr>
          <w:sz w:val="40"/>
          <w:szCs w:val="40"/>
        </w:rPr>
        <w:t xml:space="preserve">Reporting </w:t>
      </w:r>
      <w:r>
        <w:rPr>
          <w:sz w:val="40"/>
          <w:szCs w:val="40"/>
        </w:rPr>
        <w:t>Working Group</w:t>
      </w:r>
      <w:r w:rsidR="00CB6E03">
        <w:rPr>
          <w:sz w:val="40"/>
          <w:szCs w:val="40"/>
        </w:rPr>
        <w:t xml:space="preserve"> &amp;</w:t>
      </w:r>
    </w:p>
    <w:p w14:paraId="4C201D63" w14:textId="4AA0C8E9" w:rsidR="00CB6E03" w:rsidRDefault="002F00D6" w:rsidP="00A60C32">
      <w:pPr>
        <w:pStyle w:val="Title"/>
        <w:spacing w:before="120"/>
        <w:outlineLvl w:val="9"/>
        <w:rPr>
          <w:sz w:val="40"/>
          <w:szCs w:val="40"/>
        </w:rPr>
      </w:pPr>
      <w:r>
        <w:rPr>
          <w:sz w:val="40"/>
          <w:szCs w:val="40"/>
        </w:rPr>
        <w:t>FIX Execution Venue</w:t>
      </w:r>
      <w:r w:rsidR="00CB6E03">
        <w:rPr>
          <w:sz w:val="40"/>
          <w:szCs w:val="40"/>
        </w:rPr>
        <w:t xml:space="preserve"> Working Group</w:t>
      </w:r>
    </w:p>
    <w:p w14:paraId="1ECAFEE4" w14:textId="7F6179B6" w:rsidR="00D873DF" w:rsidRDefault="003E2C11" w:rsidP="00A60C32">
      <w:pPr>
        <w:pStyle w:val="Title"/>
        <w:spacing w:before="360"/>
        <w:outlineLvl w:val="9"/>
        <w:rPr>
          <w:sz w:val="40"/>
          <w:szCs w:val="40"/>
        </w:rPr>
      </w:pPr>
      <w:bookmarkStart w:id="0" w:name="DocTitle"/>
      <w:r>
        <w:rPr>
          <w:sz w:val="40"/>
          <w:szCs w:val="40"/>
        </w:rPr>
        <w:t>Liquidity Indicator Extension</w:t>
      </w:r>
      <w:r w:rsidR="007C1690">
        <w:rPr>
          <w:sz w:val="40"/>
          <w:szCs w:val="40"/>
        </w:rPr>
        <w:t xml:space="preserve"> </w:t>
      </w:r>
      <w:r w:rsidR="00A056A3">
        <w:rPr>
          <w:sz w:val="40"/>
          <w:szCs w:val="40"/>
        </w:rPr>
        <w:t>P</w:t>
      </w:r>
      <w:r w:rsidR="008E53AC">
        <w:rPr>
          <w:sz w:val="40"/>
          <w:szCs w:val="40"/>
        </w:rPr>
        <w:t>roposal</w:t>
      </w:r>
      <w:bookmarkEnd w:id="0"/>
    </w:p>
    <w:p w14:paraId="6CA13A1B" w14:textId="77777777" w:rsidR="00D873DF" w:rsidRDefault="00D873DF"/>
    <w:p w14:paraId="003F1061" w14:textId="77777777" w:rsidR="00D873DF" w:rsidRDefault="00D873DF"/>
    <w:p w14:paraId="0E640261" w14:textId="77777777" w:rsidR="00D873DF" w:rsidRDefault="00D873DF"/>
    <w:p w14:paraId="2DBBEC01" w14:textId="77777777" w:rsidR="00D873DF" w:rsidRDefault="00D873DF"/>
    <w:p w14:paraId="1D599D04" w14:textId="77F097C5" w:rsidR="00D873DF" w:rsidRDefault="00D873DF"/>
    <w:p w14:paraId="63FB6124" w14:textId="3C8C9876" w:rsidR="002F670F" w:rsidRDefault="002F670F"/>
    <w:p w14:paraId="78C1C75F" w14:textId="3D0A85EB" w:rsidR="002F670F" w:rsidRDefault="002F670F"/>
    <w:p w14:paraId="57C04C54" w14:textId="77777777" w:rsidR="002F670F" w:rsidRDefault="002F670F"/>
    <w:p w14:paraId="11E9666B" w14:textId="42A2AEBB" w:rsidR="00D873DF" w:rsidRDefault="006F1D63" w:rsidP="00A60C32">
      <w:pPr>
        <w:pStyle w:val="Title"/>
        <w:outlineLvl w:val="9"/>
        <w:rPr>
          <w:sz w:val="24"/>
          <w:szCs w:val="24"/>
        </w:rPr>
      </w:pPr>
      <w:bookmarkStart w:id="1" w:name="RevDate"/>
      <w:r>
        <w:rPr>
          <w:sz w:val="24"/>
          <w:szCs w:val="24"/>
        </w:rPr>
        <w:t>September 10</w:t>
      </w:r>
      <w:r w:rsidR="008E53AC">
        <w:rPr>
          <w:sz w:val="24"/>
          <w:szCs w:val="24"/>
        </w:rPr>
        <w:t>, 201</w:t>
      </w:r>
      <w:r w:rsidR="003E2C11">
        <w:rPr>
          <w:sz w:val="24"/>
          <w:szCs w:val="24"/>
        </w:rPr>
        <w:t>9</w:t>
      </w:r>
      <w:bookmarkEnd w:id="1"/>
    </w:p>
    <w:p w14:paraId="420AC0AE" w14:textId="50FF5520" w:rsidR="00D873DF" w:rsidRDefault="00D873DF" w:rsidP="00A60C32">
      <w:pPr>
        <w:pStyle w:val="Title"/>
        <w:outlineLvl w:val="9"/>
        <w:rPr>
          <w:sz w:val="24"/>
          <w:szCs w:val="24"/>
        </w:rPr>
      </w:pPr>
      <w:bookmarkStart w:id="2" w:name="_Toc105491793"/>
      <w:bookmarkStart w:id="3" w:name="RevNum"/>
      <w:r>
        <w:rPr>
          <w:sz w:val="24"/>
          <w:szCs w:val="24"/>
        </w:rPr>
        <w:t xml:space="preserve">Revision </w:t>
      </w:r>
      <w:bookmarkEnd w:id="2"/>
      <w:r w:rsidR="008E53AC">
        <w:rPr>
          <w:sz w:val="24"/>
          <w:szCs w:val="24"/>
        </w:rPr>
        <w:t>0</w:t>
      </w:r>
      <w:r w:rsidR="003E2C11">
        <w:rPr>
          <w:sz w:val="24"/>
          <w:szCs w:val="24"/>
        </w:rPr>
        <w:t>.</w:t>
      </w:r>
      <w:r w:rsidR="006F1D63">
        <w:rPr>
          <w:sz w:val="24"/>
          <w:szCs w:val="24"/>
        </w:rPr>
        <w:t>5</w:t>
      </w:r>
      <w:bookmarkEnd w:id="3"/>
    </w:p>
    <w:p w14:paraId="318EBAB0" w14:textId="7BED203D" w:rsidR="003318F4" w:rsidRPr="00701C7C" w:rsidRDefault="003318F4" w:rsidP="00A60C32">
      <w:pPr>
        <w:pStyle w:val="Title"/>
        <w:outlineLvl w:val="9"/>
        <w:rPr>
          <w:sz w:val="24"/>
          <w:szCs w:val="24"/>
        </w:rPr>
      </w:pPr>
      <w:r>
        <w:rPr>
          <w:sz w:val="24"/>
          <w:szCs w:val="24"/>
        </w:rPr>
        <w:t xml:space="preserve">Proposal Status:  </w:t>
      </w:r>
      <w:r w:rsidR="00734395">
        <w:rPr>
          <w:sz w:val="24"/>
          <w:szCs w:val="24"/>
        </w:rPr>
        <w:t>GTC Gov Vote</w:t>
      </w:r>
      <w:bookmarkStart w:id="4" w:name="_GoBack"/>
      <w:bookmarkEnd w:id="4"/>
    </w:p>
    <w:p w14:paraId="4B9CC5DB" w14:textId="77777777" w:rsidR="00D873DF" w:rsidRDefault="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A60C32">
      <w:pPr>
        <w:pStyle w:val="Title"/>
        <w:outlineLvl w:val="9"/>
        <w:rPr>
          <w:u w:val="single"/>
        </w:rPr>
      </w:pPr>
      <w:bookmarkStart w:id="5" w:name="_Toc105491794"/>
      <w:r>
        <w:rPr>
          <w:u w:val="single"/>
        </w:rPr>
        <w:lastRenderedPageBreak/>
        <w:t>DISCLAIMER</w:t>
      </w:r>
      <w:bookmarkEnd w:id="5"/>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76FDE00E" w:rsidR="00F85F52" w:rsidRDefault="00F85F52" w:rsidP="00F85F52">
      <w:pPr>
        <w:numPr>
          <w:ilvl w:val="12"/>
          <w:numId w:val="0"/>
        </w:numPr>
      </w:pPr>
      <w:r>
        <w:t>Copyright 200</w:t>
      </w:r>
      <w:r w:rsidR="00BB39AF">
        <w:t>3-201</w:t>
      </w:r>
      <w:r w:rsidR="003E2C11">
        <w:t>9</w:t>
      </w:r>
      <w:r>
        <w:t xml:space="preserve"> FIX Protocol Limited, all rights reserved</w:t>
      </w:r>
      <w:r w:rsidR="00BD39FB">
        <w:t>.</w:t>
      </w:r>
    </w:p>
    <w:p w14:paraId="62681500" w14:textId="77777777" w:rsidR="00F85F52" w:rsidRPr="00E90785" w:rsidRDefault="00F85F52" w:rsidP="00E90785">
      <w:pPr>
        <w:pStyle w:val="BodyText"/>
      </w:pPr>
    </w:p>
    <w:p w14:paraId="61AA04DA" w14:textId="77777777" w:rsidR="00366313" w:rsidRDefault="00640B1F" w:rsidP="00640B1F">
      <w:pPr>
        <w:pStyle w:val="Title"/>
      </w:pPr>
      <w:r>
        <w:br w:type="page"/>
      </w:r>
      <w:bookmarkStart w:id="6" w:name="_Toc105491795"/>
    </w:p>
    <w:p w14:paraId="4DFA89AD" w14:textId="6850F624" w:rsidR="00640B1F" w:rsidRDefault="00640B1F" w:rsidP="00A60C32">
      <w:pPr>
        <w:pStyle w:val="Title"/>
        <w:tabs>
          <w:tab w:val="left" w:pos="2692"/>
          <w:tab w:val="center" w:pos="4680"/>
        </w:tabs>
      </w:pPr>
      <w:r>
        <w:t>Table of Contents</w:t>
      </w:r>
      <w:bookmarkEnd w:id="6"/>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019BDBE1" w14:textId="16768A0C" w:rsidR="00285889" w:rsidRDefault="000B410A">
      <w:pPr>
        <w:pStyle w:val="TOC1"/>
        <w:tabs>
          <w:tab w:val="right" w:leader="dot" w:pos="9350"/>
        </w:tabs>
        <w:rPr>
          <w:rFonts w:eastAsiaTheme="minorEastAsia" w:cstheme="minorBidi"/>
          <w:noProof/>
          <w:sz w:val="24"/>
          <w:lang w:val="de-DE" w:eastAsia="en-GB"/>
        </w:rPr>
      </w:pPr>
      <w:r>
        <w:fldChar w:fldCharType="begin"/>
      </w:r>
      <w:r>
        <w:instrText xml:space="preserve"> TOC \o "2-3" \h \z \t "Heading 1,1" </w:instrText>
      </w:r>
      <w:r>
        <w:fldChar w:fldCharType="separate"/>
      </w:r>
      <w:hyperlink w:anchor="_Toc19023302" w:history="1">
        <w:r w:rsidR="00285889" w:rsidRPr="00B0007A">
          <w:rPr>
            <w:rStyle w:val="Hyperlink"/>
            <w:noProof/>
          </w:rPr>
          <w:t>Document History</w:t>
        </w:r>
        <w:r w:rsidR="00285889">
          <w:rPr>
            <w:noProof/>
            <w:webHidden/>
          </w:rPr>
          <w:tab/>
        </w:r>
        <w:r w:rsidR="00285889">
          <w:rPr>
            <w:noProof/>
            <w:webHidden/>
          </w:rPr>
          <w:fldChar w:fldCharType="begin"/>
        </w:r>
        <w:r w:rsidR="00285889">
          <w:rPr>
            <w:noProof/>
            <w:webHidden/>
          </w:rPr>
          <w:instrText xml:space="preserve"> PAGEREF _Toc19023302 \h </w:instrText>
        </w:r>
        <w:r w:rsidR="00285889">
          <w:rPr>
            <w:noProof/>
            <w:webHidden/>
          </w:rPr>
        </w:r>
        <w:r w:rsidR="00285889">
          <w:rPr>
            <w:noProof/>
            <w:webHidden/>
          </w:rPr>
          <w:fldChar w:fldCharType="separate"/>
        </w:r>
        <w:r w:rsidR="00285889">
          <w:rPr>
            <w:noProof/>
            <w:webHidden/>
          </w:rPr>
          <w:t>5</w:t>
        </w:r>
        <w:r w:rsidR="00285889">
          <w:rPr>
            <w:noProof/>
            <w:webHidden/>
          </w:rPr>
          <w:fldChar w:fldCharType="end"/>
        </w:r>
      </w:hyperlink>
    </w:p>
    <w:p w14:paraId="534EEDED" w14:textId="0C069083" w:rsidR="00285889" w:rsidRDefault="00285889">
      <w:pPr>
        <w:pStyle w:val="TOC1"/>
        <w:tabs>
          <w:tab w:val="left" w:pos="450"/>
          <w:tab w:val="right" w:leader="dot" w:pos="9350"/>
        </w:tabs>
        <w:rPr>
          <w:rFonts w:eastAsiaTheme="minorEastAsia" w:cstheme="minorBidi"/>
          <w:noProof/>
          <w:sz w:val="24"/>
          <w:lang w:val="de-DE" w:eastAsia="en-GB"/>
        </w:rPr>
      </w:pPr>
      <w:hyperlink w:anchor="_Toc19023303" w:history="1">
        <w:r w:rsidRPr="00B0007A">
          <w:rPr>
            <w:rStyle w:val="Hyperlink"/>
            <w:noProof/>
          </w:rPr>
          <w:t>1</w:t>
        </w:r>
        <w:r>
          <w:rPr>
            <w:rFonts w:eastAsiaTheme="minorEastAsia" w:cstheme="minorBidi"/>
            <w:noProof/>
            <w:sz w:val="24"/>
            <w:lang w:val="de-DE" w:eastAsia="en-GB"/>
          </w:rPr>
          <w:tab/>
        </w:r>
        <w:r w:rsidRPr="00B0007A">
          <w:rPr>
            <w:rStyle w:val="Hyperlink"/>
            <w:noProof/>
          </w:rPr>
          <w:t>Introduction</w:t>
        </w:r>
        <w:r>
          <w:rPr>
            <w:noProof/>
            <w:webHidden/>
          </w:rPr>
          <w:tab/>
        </w:r>
        <w:r>
          <w:rPr>
            <w:noProof/>
            <w:webHidden/>
          </w:rPr>
          <w:fldChar w:fldCharType="begin"/>
        </w:r>
        <w:r>
          <w:rPr>
            <w:noProof/>
            <w:webHidden/>
          </w:rPr>
          <w:instrText xml:space="preserve"> PAGEREF _Toc19023303 \h </w:instrText>
        </w:r>
        <w:r>
          <w:rPr>
            <w:noProof/>
            <w:webHidden/>
          </w:rPr>
        </w:r>
        <w:r>
          <w:rPr>
            <w:noProof/>
            <w:webHidden/>
          </w:rPr>
          <w:fldChar w:fldCharType="separate"/>
        </w:r>
        <w:r>
          <w:rPr>
            <w:noProof/>
            <w:webHidden/>
          </w:rPr>
          <w:t>6</w:t>
        </w:r>
        <w:r>
          <w:rPr>
            <w:noProof/>
            <w:webHidden/>
          </w:rPr>
          <w:fldChar w:fldCharType="end"/>
        </w:r>
      </w:hyperlink>
    </w:p>
    <w:p w14:paraId="160A76DE" w14:textId="7A2B82A2" w:rsidR="00285889" w:rsidRDefault="00285889">
      <w:pPr>
        <w:pStyle w:val="TOC2"/>
        <w:rPr>
          <w:rFonts w:eastAsiaTheme="minorEastAsia" w:cstheme="minorBidi"/>
          <w:sz w:val="24"/>
          <w:lang w:val="de-DE" w:eastAsia="en-GB"/>
        </w:rPr>
      </w:pPr>
      <w:hyperlink w:anchor="_Toc19023304" w:history="1">
        <w:r w:rsidRPr="00B0007A">
          <w:rPr>
            <w:rStyle w:val="Hyperlink"/>
          </w:rPr>
          <w:t>1.1</w:t>
        </w:r>
        <w:r>
          <w:rPr>
            <w:rFonts w:eastAsiaTheme="minorEastAsia" w:cstheme="minorBidi"/>
            <w:sz w:val="24"/>
            <w:lang w:val="de-DE" w:eastAsia="en-GB"/>
          </w:rPr>
          <w:tab/>
        </w:r>
        <w:r w:rsidRPr="00B0007A">
          <w:rPr>
            <w:rStyle w:val="Hyperlink"/>
          </w:rPr>
          <w:t>FIF/FIX Regulatory Reporting Working Group</w:t>
        </w:r>
        <w:r>
          <w:rPr>
            <w:webHidden/>
          </w:rPr>
          <w:tab/>
        </w:r>
        <w:r>
          <w:rPr>
            <w:webHidden/>
          </w:rPr>
          <w:fldChar w:fldCharType="begin"/>
        </w:r>
        <w:r>
          <w:rPr>
            <w:webHidden/>
          </w:rPr>
          <w:instrText xml:space="preserve"> PAGEREF _Toc19023304 \h </w:instrText>
        </w:r>
        <w:r>
          <w:rPr>
            <w:webHidden/>
          </w:rPr>
        </w:r>
        <w:r>
          <w:rPr>
            <w:webHidden/>
          </w:rPr>
          <w:fldChar w:fldCharType="separate"/>
        </w:r>
        <w:r>
          <w:rPr>
            <w:webHidden/>
          </w:rPr>
          <w:t>6</w:t>
        </w:r>
        <w:r>
          <w:rPr>
            <w:webHidden/>
          </w:rPr>
          <w:fldChar w:fldCharType="end"/>
        </w:r>
      </w:hyperlink>
    </w:p>
    <w:p w14:paraId="2A7ED274" w14:textId="05F9ADDC" w:rsidR="00285889" w:rsidRDefault="00285889">
      <w:pPr>
        <w:pStyle w:val="TOC2"/>
        <w:rPr>
          <w:rFonts w:eastAsiaTheme="minorEastAsia" w:cstheme="minorBidi"/>
          <w:sz w:val="24"/>
          <w:lang w:val="de-DE" w:eastAsia="en-GB"/>
        </w:rPr>
      </w:pPr>
      <w:hyperlink w:anchor="_Toc19023305" w:history="1">
        <w:r w:rsidRPr="00B0007A">
          <w:rPr>
            <w:rStyle w:val="Hyperlink"/>
          </w:rPr>
          <w:t>1.2</w:t>
        </w:r>
        <w:r>
          <w:rPr>
            <w:rFonts w:eastAsiaTheme="minorEastAsia" w:cstheme="minorBidi"/>
            <w:sz w:val="24"/>
            <w:lang w:val="de-DE" w:eastAsia="en-GB"/>
          </w:rPr>
          <w:tab/>
        </w:r>
        <w:r w:rsidRPr="00B0007A">
          <w:rPr>
            <w:rStyle w:val="Hyperlink"/>
          </w:rPr>
          <w:t>FIX Execution Venue Working Group</w:t>
        </w:r>
        <w:r>
          <w:rPr>
            <w:webHidden/>
          </w:rPr>
          <w:tab/>
        </w:r>
        <w:r>
          <w:rPr>
            <w:webHidden/>
          </w:rPr>
          <w:fldChar w:fldCharType="begin"/>
        </w:r>
        <w:r>
          <w:rPr>
            <w:webHidden/>
          </w:rPr>
          <w:instrText xml:space="preserve"> PAGEREF _Toc19023305 \h </w:instrText>
        </w:r>
        <w:r>
          <w:rPr>
            <w:webHidden/>
          </w:rPr>
        </w:r>
        <w:r>
          <w:rPr>
            <w:webHidden/>
          </w:rPr>
          <w:fldChar w:fldCharType="separate"/>
        </w:r>
        <w:r>
          <w:rPr>
            <w:webHidden/>
          </w:rPr>
          <w:t>6</w:t>
        </w:r>
        <w:r>
          <w:rPr>
            <w:webHidden/>
          </w:rPr>
          <w:fldChar w:fldCharType="end"/>
        </w:r>
      </w:hyperlink>
    </w:p>
    <w:p w14:paraId="5E5C81A2" w14:textId="596CDF05" w:rsidR="00285889" w:rsidRDefault="00285889">
      <w:pPr>
        <w:pStyle w:val="TOC1"/>
        <w:tabs>
          <w:tab w:val="left" w:pos="450"/>
          <w:tab w:val="right" w:leader="dot" w:pos="9350"/>
        </w:tabs>
        <w:rPr>
          <w:rFonts w:eastAsiaTheme="minorEastAsia" w:cstheme="minorBidi"/>
          <w:noProof/>
          <w:sz w:val="24"/>
          <w:lang w:val="de-DE" w:eastAsia="en-GB"/>
        </w:rPr>
      </w:pPr>
      <w:hyperlink w:anchor="_Toc19023306" w:history="1">
        <w:r w:rsidRPr="00B0007A">
          <w:rPr>
            <w:rStyle w:val="Hyperlink"/>
            <w:noProof/>
          </w:rPr>
          <w:t>2</w:t>
        </w:r>
        <w:r>
          <w:rPr>
            <w:rFonts w:eastAsiaTheme="minorEastAsia" w:cstheme="minorBidi"/>
            <w:noProof/>
            <w:sz w:val="24"/>
            <w:lang w:val="de-DE" w:eastAsia="en-GB"/>
          </w:rPr>
          <w:tab/>
        </w:r>
        <w:r w:rsidRPr="00B0007A">
          <w:rPr>
            <w:rStyle w:val="Hyperlink"/>
            <w:noProof/>
          </w:rPr>
          <w:t>Business Requirements</w:t>
        </w:r>
        <w:r>
          <w:rPr>
            <w:noProof/>
            <w:webHidden/>
          </w:rPr>
          <w:tab/>
        </w:r>
        <w:r>
          <w:rPr>
            <w:noProof/>
            <w:webHidden/>
          </w:rPr>
          <w:fldChar w:fldCharType="begin"/>
        </w:r>
        <w:r>
          <w:rPr>
            <w:noProof/>
            <w:webHidden/>
          </w:rPr>
          <w:instrText xml:space="preserve"> PAGEREF _Toc19023306 \h </w:instrText>
        </w:r>
        <w:r>
          <w:rPr>
            <w:noProof/>
            <w:webHidden/>
          </w:rPr>
        </w:r>
        <w:r>
          <w:rPr>
            <w:noProof/>
            <w:webHidden/>
          </w:rPr>
          <w:fldChar w:fldCharType="separate"/>
        </w:r>
        <w:r>
          <w:rPr>
            <w:noProof/>
            <w:webHidden/>
          </w:rPr>
          <w:t>7</w:t>
        </w:r>
        <w:r>
          <w:rPr>
            <w:noProof/>
            <w:webHidden/>
          </w:rPr>
          <w:fldChar w:fldCharType="end"/>
        </w:r>
      </w:hyperlink>
    </w:p>
    <w:p w14:paraId="1DE6075C" w14:textId="6EED080B" w:rsidR="00285889" w:rsidRDefault="00285889">
      <w:pPr>
        <w:pStyle w:val="TOC2"/>
        <w:rPr>
          <w:rFonts w:eastAsiaTheme="minorEastAsia" w:cstheme="minorBidi"/>
          <w:sz w:val="24"/>
          <w:lang w:val="de-DE" w:eastAsia="en-GB"/>
        </w:rPr>
      </w:pPr>
      <w:hyperlink w:anchor="_Toc19023307" w:history="1">
        <w:r w:rsidRPr="00B0007A">
          <w:rPr>
            <w:rStyle w:val="Hyperlink"/>
          </w:rPr>
          <w:t>2.1</w:t>
        </w:r>
        <w:r>
          <w:rPr>
            <w:rFonts w:eastAsiaTheme="minorEastAsia" w:cstheme="minorBidi"/>
            <w:sz w:val="24"/>
            <w:lang w:val="de-DE" w:eastAsia="en-GB"/>
          </w:rPr>
          <w:tab/>
        </w:r>
        <w:r w:rsidRPr="00B0007A">
          <w:rPr>
            <w:rStyle w:val="Hyperlink"/>
          </w:rPr>
          <w:t>Neutral Liquidity Indicator</w:t>
        </w:r>
        <w:r>
          <w:rPr>
            <w:webHidden/>
          </w:rPr>
          <w:tab/>
        </w:r>
        <w:r>
          <w:rPr>
            <w:webHidden/>
          </w:rPr>
          <w:fldChar w:fldCharType="begin"/>
        </w:r>
        <w:r>
          <w:rPr>
            <w:webHidden/>
          </w:rPr>
          <w:instrText xml:space="preserve"> PAGEREF _Toc19023307 \h </w:instrText>
        </w:r>
        <w:r>
          <w:rPr>
            <w:webHidden/>
          </w:rPr>
        </w:r>
        <w:r>
          <w:rPr>
            <w:webHidden/>
          </w:rPr>
          <w:fldChar w:fldCharType="separate"/>
        </w:r>
        <w:r>
          <w:rPr>
            <w:webHidden/>
          </w:rPr>
          <w:t>7</w:t>
        </w:r>
        <w:r>
          <w:rPr>
            <w:webHidden/>
          </w:rPr>
          <w:fldChar w:fldCharType="end"/>
        </w:r>
      </w:hyperlink>
    </w:p>
    <w:p w14:paraId="1CB5104B" w14:textId="2673814D" w:rsidR="00285889" w:rsidRDefault="00285889">
      <w:pPr>
        <w:pStyle w:val="TOC2"/>
        <w:rPr>
          <w:rFonts w:eastAsiaTheme="minorEastAsia" w:cstheme="minorBidi"/>
          <w:sz w:val="24"/>
          <w:lang w:val="de-DE" w:eastAsia="en-GB"/>
        </w:rPr>
      </w:pPr>
      <w:hyperlink w:anchor="_Toc19023308" w:history="1">
        <w:r w:rsidRPr="00B0007A">
          <w:rPr>
            <w:rStyle w:val="Hyperlink"/>
          </w:rPr>
          <w:t>2.2</w:t>
        </w:r>
        <w:r>
          <w:rPr>
            <w:rFonts w:eastAsiaTheme="minorEastAsia" w:cstheme="minorBidi"/>
            <w:sz w:val="24"/>
            <w:lang w:val="de-DE" w:eastAsia="en-GB"/>
          </w:rPr>
          <w:tab/>
        </w:r>
        <w:r w:rsidRPr="00B0007A">
          <w:rPr>
            <w:rStyle w:val="Hyperlink"/>
          </w:rPr>
          <w:t>Liquidity from Orders Requiring a Confirmation</w:t>
        </w:r>
        <w:r>
          <w:rPr>
            <w:webHidden/>
          </w:rPr>
          <w:tab/>
        </w:r>
        <w:r>
          <w:rPr>
            <w:webHidden/>
          </w:rPr>
          <w:fldChar w:fldCharType="begin"/>
        </w:r>
        <w:r>
          <w:rPr>
            <w:webHidden/>
          </w:rPr>
          <w:instrText xml:space="preserve"> PAGEREF _Toc19023308 \h </w:instrText>
        </w:r>
        <w:r>
          <w:rPr>
            <w:webHidden/>
          </w:rPr>
        </w:r>
        <w:r>
          <w:rPr>
            <w:webHidden/>
          </w:rPr>
          <w:fldChar w:fldCharType="separate"/>
        </w:r>
        <w:r>
          <w:rPr>
            <w:webHidden/>
          </w:rPr>
          <w:t>8</w:t>
        </w:r>
        <w:r>
          <w:rPr>
            <w:webHidden/>
          </w:rPr>
          <w:fldChar w:fldCharType="end"/>
        </w:r>
      </w:hyperlink>
    </w:p>
    <w:p w14:paraId="693EC5BD" w14:textId="4320D15A" w:rsidR="00285889" w:rsidRDefault="00285889">
      <w:pPr>
        <w:pStyle w:val="TOC1"/>
        <w:tabs>
          <w:tab w:val="left" w:pos="450"/>
          <w:tab w:val="right" w:leader="dot" w:pos="9350"/>
        </w:tabs>
        <w:rPr>
          <w:rFonts w:eastAsiaTheme="minorEastAsia" w:cstheme="minorBidi"/>
          <w:noProof/>
          <w:sz w:val="24"/>
          <w:lang w:val="de-DE" w:eastAsia="en-GB"/>
        </w:rPr>
      </w:pPr>
      <w:hyperlink w:anchor="_Toc19023309" w:history="1">
        <w:r w:rsidRPr="00B0007A">
          <w:rPr>
            <w:rStyle w:val="Hyperlink"/>
            <w:noProof/>
          </w:rPr>
          <w:t>3</w:t>
        </w:r>
        <w:r>
          <w:rPr>
            <w:rFonts w:eastAsiaTheme="minorEastAsia" w:cstheme="minorBidi"/>
            <w:noProof/>
            <w:sz w:val="24"/>
            <w:lang w:val="de-DE" w:eastAsia="en-GB"/>
          </w:rPr>
          <w:tab/>
        </w:r>
        <w:r w:rsidRPr="00B0007A">
          <w:rPr>
            <w:rStyle w:val="Hyperlink"/>
            <w:noProof/>
          </w:rPr>
          <w:t>Issues and Discussion Points</w:t>
        </w:r>
        <w:r>
          <w:rPr>
            <w:noProof/>
            <w:webHidden/>
          </w:rPr>
          <w:tab/>
        </w:r>
        <w:r>
          <w:rPr>
            <w:noProof/>
            <w:webHidden/>
          </w:rPr>
          <w:fldChar w:fldCharType="begin"/>
        </w:r>
        <w:r>
          <w:rPr>
            <w:noProof/>
            <w:webHidden/>
          </w:rPr>
          <w:instrText xml:space="preserve"> PAGEREF _Toc19023309 \h </w:instrText>
        </w:r>
        <w:r>
          <w:rPr>
            <w:noProof/>
            <w:webHidden/>
          </w:rPr>
        </w:r>
        <w:r>
          <w:rPr>
            <w:noProof/>
            <w:webHidden/>
          </w:rPr>
          <w:fldChar w:fldCharType="separate"/>
        </w:r>
        <w:r>
          <w:rPr>
            <w:noProof/>
            <w:webHidden/>
          </w:rPr>
          <w:t>8</w:t>
        </w:r>
        <w:r>
          <w:rPr>
            <w:noProof/>
            <w:webHidden/>
          </w:rPr>
          <w:fldChar w:fldCharType="end"/>
        </w:r>
      </w:hyperlink>
    </w:p>
    <w:p w14:paraId="2834E237" w14:textId="3C22BDF3" w:rsidR="00285889" w:rsidRDefault="00285889">
      <w:pPr>
        <w:pStyle w:val="TOC2"/>
        <w:rPr>
          <w:rFonts w:eastAsiaTheme="minorEastAsia" w:cstheme="minorBidi"/>
          <w:sz w:val="24"/>
          <w:lang w:val="de-DE" w:eastAsia="en-GB"/>
        </w:rPr>
      </w:pPr>
      <w:hyperlink w:anchor="_Toc19023310" w:history="1">
        <w:r w:rsidRPr="00B0007A">
          <w:rPr>
            <w:rStyle w:val="Hyperlink"/>
          </w:rPr>
          <w:t>3.1</w:t>
        </w:r>
        <w:r>
          <w:rPr>
            <w:rFonts w:eastAsiaTheme="minorEastAsia" w:cstheme="minorBidi"/>
            <w:sz w:val="24"/>
            <w:lang w:val="de-DE" w:eastAsia="en-GB"/>
          </w:rPr>
          <w:tab/>
        </w:r>
        <w:r w:rsidRPr="00B0007A">
          <w:rPr>
            <w:rStyle w:val="Hyperlink"/>
          </w:rPr>
          <w:t>Field Omission</w:t>
        </w:r>
        <w:r>
          <w:rPr>
            <w:webHidden/>
          </w:rPr>
          <w:tab/>
        </w:r>
        <w:r>
          <w:rPr>
            <w:webHidden/>
          </w:rPr>
          <w:fldChar w:fldCharType="begin"/>
        </w:r>
        <w:r>
          <w:rPr>
            <w:webHidden/>
          </w:rPr>
          <w:instrText xml:space="preserve"> PAGEREF _Toc19023310 \h </w:instrText>
        </w:r>
        <w:r>
          <w:rPr>
            <w:webHidden/>
          </w:rPr>
        </w:r>
        <w:r>
          <w:rPr>
            <w:webHidden/>
          </w:rPr>
          <w:fldChar w:fldCharType="separate"/>
        </w:r>
        <w:r>
          <w:rPr>
            <w:webHidden/>
          </w:rPr>
          <w:t>8</w:t>
        </w:r>
        <w:r>
          <w:rPr>
            <w:webHidden/>
          </w:rPr>
          <w:fldChar w:fldCharType="end"/>
        </w:r>
      </w:hyperlink>
    </w:p>
    <w:p w14:paraId="0FD729CE" w14:textId="29B96246" w:rsidR="00285889" w:rsidRDefault="00285889">
      <w:pPr>
        <w:pStyle w:val="TOC2"/>
        <w:rPr>
          <w:rFonts w:eastAsiaTheme="minorEastAsia" w:cstheme="minorBidi"/>
          <w:sz w:val="24"/>
          <w:lang w:val="de-DE" w:eastAsia="en-GB"/>
        </w:rPr>
      </w:pPr>
      <w:hyperlink w:anchor="_Toc19023311" w:history="1">
        <w:r w:rsidRPr="00B0007A">
          <w:rPr>
            <w:rStyle w:val="Hyperlink"/>
          </w:rPr>
          <w:t>3.2</w:t>
        </w:r>
        <w:r>
          <w:rPr>
            <w:rFonts w:eastAsiaTheme="minorEastAsia" w:cstheme="minorBidi"/>
            <w:sz w:val="24"/>
            <w:lang w:val="de-DE" w:eastAsia="en-GB"/>
          </w:rPr>
          <w:tab/>
        </w:r>
        <w:r w:rsidRPr="00B0007A">
          <w:rPr>
            <w:rStyle w:val="Hyperlink"/>
          </w:rPr>
          <w:t>Explicit Value per Use Case</w:t>
        </w:r>
        <w:r>
          <w:rPr>
            <w:webHidden/>
          </w:rPr>
          <w:tab/>
        </w:r>
        <w:r>
          <w:rPr>
            <w:webHidden/>
          </w:rPr>
          <w:fldChar w:fldCharType="begin"/>
        </w:r>
        <w:r>
          <w:rPr>
            <w:webHidden/>
          </w:rPr>
          <w:instrText xml:space="preserve"> PAGEREF _Toc19023311 \h </w:instrText>
        </w:r>
        <w:r>
          <w:rPr>
            <w:webHidden/>
          </w:rPr>
        </w:r>
        <w:r>
          <w:rPr>
            <w:webHidden/>
          </w:rPr>
          <w:fldChar w:fldCharType="separate"/>
        </w:r>
        <w:r>
          <w:rPr>
            <w:webHidden/>
          </w:rPr>
          <w:t>8</w:t>
        </w:r>
        <w:r>
          <w:rPr>
            <w:webHidden/>
          </w:rPr>
          <w:fldChar w:fldCharType="end"/>
        </w:r>
      </w:hyperlink>
    </w:p>
    <w:p w14:paraId="4C6B84CC" w14:textId="248C7676" w:rsidR="00285889" w:rsidRDefault="00285889">
      <w:pPr>
        <w:pStyle w:val="TOC1"/>
        <w:tabs>
          <w:tab w:val="left" w:pos="450"/>
          <w:tab w:val="right" w:leader="dot" w:pos="9350"/>
        </w:tabs>
        <w:rPr>
          <w:rFonts w:eastAsiaTheme="minorEastAsia" w:cstheme="minorBidi"/>
          <w:noProof/>
          <w:sz w:val="24"/>
          <w:lang w:val="de-DE" w:eastAsia="en-GB"/>
        </w:rPr>
      </w:pPr>
      <w:hyperlink w:anchor="_Toc19023312" w:history="1">
        <w:r w:rsidRPr="00B0007A">
          <w:rPr>
            <w:rStyle w:val="Hyperlink"/>
            <w:noProof/>
          </w:rPr>
          <w:t>4</w:t>
        </w:r>
        <w:r>
          <w:rPr>
            <w:rFonts w:eastAsiaTheme="minorEastAsia" w:cstheme="minorBidi"/>
            <w:noProof/>
            <w:sz w:val="24"/>
            <w:lang w:val="de-DE" w:eastAsia="en-GB"/>
          </w:rPr>
          <w:tab/>
        </w:r>
        <w:r w:rsidRPr="00B0007A">
          <w:rPr>
            <w:rStyle w:val="Hyperlink"/>
            <w:noProof/>
          </w:rPr>
          <w:t>Proposed Message Flow</w:t>
        </w:r>
        <w:r>
          <w:rPr>
            <w:noProof/>
            <w:webHidden/>
          </w:rPr>
          <w:tab/>
        </w:r>
        <w:r>
          <w:rPr>
            <w:noProof/>
            <w:webHidden/>
          </w:rPr>
          <w:fldChar w:fldCharType="begin"/>
        </w:r>
        <w:r>
          <w:rPr>
            <w:noProof/>
            <w:webHidden/>
          </w:rPr>
          <w:instrText xml:space="preserve"> PAGEREF _Toc19023312 \h </w:instrText>
        </w:r>
        <w:r>
          <w:rPr>
            <w:noProof/>
            <w:webHidden/>
          </w:rPr>
        </w:r>
        <w:r>
          <w:rPr>
            <w:noProof/>
            <w:webHidden/>
          </w:rPr>
          <w:fldChar w:fldCharType="separate"/>
        </w:r>
        <w:r>
          <w:rPr>
            <w:noProof/>
            <w:webHidden/>
          </w:rPr>
          <w:t>9</w:t>
        </w:r>
        <w:r>
          <w:rPr>
            <w:noProof/>
            <w:webHidden/>
          </w:rPr>
          <w:fldChar w:fldCharType="end"/>
        </w:r>
      </w:hyperlink>
    </w:p>
    <w:p w14:paraId="53D27274" w14:textId="680A96A5" w:rsidR="00285889" w:rsidRDefault="00285889">
      <w:pPr>
        <w:pStyle w:val="TOC1"/>
        <w:tabs>
          <w:tab w:val="left" w:pos="450"/>
          <w:tab w:val="right" w:leader="dot" w:pos="9350"/>
        </w:tabs>
        <w:rPr>
          <w:rFonts w:eastAsiaTheme="minorEastAsia" w:cstheme="minorBidi"/>
          <w:noProof/>
          <w:sz w:val="24"/>
          <w:lang w:val="de-DE" w:eastAsia="en-GB"/>
        </w:rPr>
      </w:pPr>
      <w:hyperlink w:anchor="_Toc19023313" w:history="1">
        <w:r w:rsidRPr="00B0007A">
          <w:rPr>
            <w:rStyle w:val="Hyperlink"/>
            <w:noProof/>
          </w:rPr>
          <w:t>5</w:t>
        </w:r>
        <w:r>
          <w:rPr>
            <w:rFonts w:eastAsiaTheme="minorEastAsia" w:cstheme="minorBidi"/>
            <w:noProof/>
            <w:sz w:val="24"/>
            <w:lang w:val="de-DE" w:eastAsia="en-GB"/>
          </w:rPr>
          <w:tab/>
        </w:r>
        <w:r w:rsidRPr="00B0007A">
          <w:rPr>
            <w:rStyle w:val="Hyperlink"/>
            <w:noProof/>
          </w:rPr>
          <w:t>FIX Message Tables</w:t>
        </w:r>
        <w:r>
          <w:rPr>
            <w:noProof/>
            <w:webHidden/>
          </w:rPr>
          <w:tab/>
        </w:r>
        <w:r>
          <w:rPr>
            <w:noProof/>
            <w:webHidden/>
          </w:rPr>
          <w:fldChar w:fldCharType="begin"/>
        </w:r>
        <w:r>
          <w:rPr>
            <w:noProof/>
            <w:webHidden/>
          </w:rPr>
          <w:instrText xml:space="preserve"> PAGEREF _Toc19023313 \h </w:instrText>
        </w:r>
        <w:r>
          <w:rPr>
            <w:noProof/>
            <w:webHidden/>
          </w:rPr>
        </w:r>
        <w:r>
          <w:rPr>
            <w:noProof/>
            <w:webHidden/>
          </w:rPr>
          <w:fldChar w:fldCharType="separate"/>
        </w:r>
        <w:r>
          <w:rPr>
            <w:noProof/>
            <w:webHidden/>
          </w:rPr>
          <w:t>9</w:t>
        </w:r>
        <w:r>
          <w:rPr>
            <w:noProof/>
            <w:webHidden/>
          </w:rPr>
          <w:fldChar w:fldCharType="end"/>
        </w:r>
      </w:hyperlink>
    </w:p>
    <w:p w14:paraId="4B7DBF01" w14:textId="7B9EDE8D" w:rsidR="00285889" w:rsidRDefault="00285889">
      <w:pPr>
        <w:pStyle w:val="TOC1"/>
        <w:tabs>
          <w:tab w:val="left" w:pos="450"/>
          <w:tab w:val="right" w:leader="dot" w:pos="9350"/>
        </w:tabs>
        <w:rPr>
          <w:rFonts w:eastAsiaTheme="minorEastAsia" w:cstheme="minorBidi"/>
          <w:noProof/>
          <w:sz w:val="24"/>
          <w:lang w:val="de-DE" w:eastAsia="en-GB"/>
        </w:rPr>
      </w:pPr>
      <w:hyperlink w:anchor="_Toc19023314" w:history="1">
        <w:r w:rsidRPr="00B0007A">
          <w:rPr>
            <w:rStyle w:val="Hyperlink"/>
            <w:noProof/>
          </w:rPr>
          <w:t>6</w:t>
        </w:r>
        <w:r>
          <w:rPr>
            <w:rFonts w:eastAsiaTheme="minorEastAsia" w:cstheme="minorBidi"/>
            <w:noProof/>
            <w:sz w:val="24"/>
            <w:lang w:val="de-DE" w:eastAsia="en-GB"/>
          </w:rPr>
          <w:tab/>
        </w:r>
        <w:r w:rsidRPr="00B0007A">
          <w:rPr>
            <w:rStyle w:val="Hyperlink"/>
            <w:noProof/>
          </w:rPr>
          <w:t>FIX Component Blocks</w:t>
        </w:r>
        <w:r>
          <w:rPr>
            <w:noProof/>
            <w:webHidden/>
          </w:rPr>
          <w:tab/>
        </w:r>
        <w:r>
          <w:rPr>
            <w:noProof/>
            <w:webHidden/>
          </w:rPr>
          <w:fldChar w:fldCharType="begin"/>
        </w:r>
        <w:r>
          <w:rPr>
            <w:noProof/>
            <w:webHidden/>
          </w:rPr>
          <w:instrText xml:space="preserve"> PAGEREF _Toc19023314 \h </w:instrText>
        </w:r>
        <w:r>
          <w:rPr>
            <w:noProof/>
            <w:webHidden/>
          </w:rPr>
        </w:r>
        <w:r>
          <w:rPr>
            <w:noProof/>
            <w:webHidden/>
          </w:rPr>
          <w:fldChar w:fldCharType="separate"/>
        </w:r>
        <w:r>
          <w:rPr>
            <w:noProof/>
            <w:webHidden/>
          </w:rPr>
          <w:t>9</w:t>
        </w:r>
        <w:r>
          <w:rPr>
            <w:noProof/>
            <w:webHidden/>
          </w:rPr>
          <w:fldChar w:fldCharType="end"/>
        </w:r>
      </w:hyperlink>
    </w:p>
    <w:p w14:paraId="321574A9" w14:textId="02143D78" w:rsidR="00285889" w:rsidRDefault="00285889">
      <w:pPr>
        <w:pStyle w:val="TOC1"/>
        <w:tabs>
          <w:tab w:val="left" w:pos="450"/>
          <w:tab w:val="right" w:leader="dot" w:pos="9350"/>
        </w:tabs>
        <w:rPr>
          <w:rFonts w:eastAsiaTheme="minorEastAsia" w:cstheme="minorBidi"/>
          <w:noProof/>
          <w:sz w:val="24"/>
          <w:lang w:val="de-DE" w:eastAsia="en-GB"/>
        </w:rPr>
      </w:pPr>
      <w:hyperlink w:anchor="_Toc19023315" w:history="1">
        <w:r w:rsidRPr="00B0007A">
          <w:rPr>
            <w:rStyle w:val="Hyperlink"/>
            <w:noProof/>
          </w:rPr>
          <w:t>7</w:t>
        </w:r>
        <w:r>
          <w:rPr>
            <w:rFonts w:eastAsiaTheme="minorEastAsia" w:cstheme="minorBidi"/>
            <w:noProof/>
            <w:sz w:val="24"/>
            <w:lang w:val="de-DE" w:eastAsia="en-GB"/>
          </w:rPr>
          <w:tab/>
        </w:r>
        <w:r w:rsidRPr="00B0007A">
          <w:rPr>
            <w:rStyle w:val="Hyperlink"/>
            <w:noProof/>
          </w:rPr>
          <w:t>Category Changes</w:t>
        </w:r>
        <w:r>
          <w:rPr>
            <w:noProof/>
            <w:webHidden/>
          </w:rPr>
          <w:tab/>
        </w:r>
        <w:r>
          <w:rPr>
            <w:noProof/>
            <w:webHidden/>
          </w:rPr>
          <w:fldChar w:fldCharType="begin"/>
        </w:r>
        <w:r>
          <w:rPr>
            <w:noProof/>
            <w:webHidden/>
          </w:rPr>
          <w:instrText xml:space="preserve"> PAGEREF _Toc19023315 \h </w:instrText>
        </w:r>
        <w:r>
          <w:rPr>
            <w:noProof/>
            <w:webHidden/>
          </w:rPr>
        </w:r>
        <w:r>
          <w:rPr>
            <w:noProof/>
            <w:webHidden/>
          </w:rPr>
          <w:fldChar w:fldCharType="separate"/>
        </w:r>
        <w:r>
          <w:rPr>
            <w:noProof/>
            <w:webHidden/>
          </w:rPr>
          <w:t>9</w:t>
        </w:r>
        <w:r>
          <w:rPr>
            <w:noProof/>
            <w:webHidden/>
          </w:rPr>
          <w:fldChar w:fldCharType="end"/>
        </w:r>
      </w:hyperlink>
    </w:p>
    <w:p w14:paraId="7C29556D" w14:textId="1B74C130" w:rsidR="00285889" w:rsidRDefault="00285889">
      <w:pPr>
        <w:pStyle w:val="TOC1"/>
        <w:tabs>
          <w:tab w:val="right" w:leader="dot" w:pos="9350"/>
        </w:tabs>
        <w:rPr>
          <w:rFonts w:eastAsiaTheme="minorEastAsia" w:cstheme="minorBidi"/>
          <w:noProof/>
          <w:sz w:val="24"/>
          <w:lang w:val="de-DE" w:eastAsia="en-GB"/>
        </w:rPr>
      </w:pPr>
      <w:hyperlink w:anchor="_Toc19023316" w:history="1">
        <w:r w:rsidRPr="00B0007A">
          <w:rPr>
            <w:rStyle w:val="Hyperlink"/>
            <w:noProof/>
          </w:rPr>
          <w:t>Appendix A - Data Dictionary</w:t>
        </w:r>
        <w:r>
          <w:rPr>
            <w:noProof/>
            <w:webHidden/>
          </w:rPr>
          <w:tab/>
        </w:r>
        <w:r>
          <w:rPr>
            <w:noProof/>
            <w:webHidden/>
          </w:rPr>
          <w:fldChar w:fldCharType="begin"/>
        </w:r>
        <w:r>
          <w:rPr>
            <w:noProof/>
            <w:webHidden/>
          </w:rPr>
          <w:instrText xml:space="preserve"> PAGEREF _Toc19023316 \h </w:instrText>
        </w:r>
        <w:r>
          <w:rPr>
            <w:noProof/>
            <w:webHidden/>
          </w:rPr>
        </w:r>
        <w:r>
          <w:rPr>
            <w:noProof/>
            <w:webHidden/>
          </w:rPr>
          <w:fldChar w:fldCharType="separate"/>
        </w:r>
        <w:r>
          <w:rPr>
            <w:noProof/>
            <w:webHidden/>
          </w:rPr>
          <w:t>10</w:t>
        </w:r>
        <w:r>
          <w:rPr>
            <w:noProof/>
            <w:webHidden/>
          </w:rPr>
          <w:fldChar w:fldCharType="end"/>
        </w:r>
      </w:hyperlink>
    </w:p>
    <w:p w14:paraId="58BF353A" w14:textId="263376A1" w:rsidR="00285889" w:rsidRDefault="00285889">
      <w:pPr>
        <w:pStyle w:val="TOC1"/>
        <w:tabs>
          <w:tab w:val="right" w:leader="dot" w:pos="9350"/>
        </w:tabs>
        <w:rPr>
          <w:rFonts w:eastAsiaTheme="minorEastAsia" w:cstheme="minorBidi"/>
          <w:noProof/>
          <w:sz w:val="24"/>
          <w:lang w:val="de-DE" w:eastAsia="en-GB"/>
        </w:rPr>
      </w:pPr>
      <w:hyperlink w:anchor="_Toc19023317" w:history="1">
        <w:r w:rsidRPr="00B0007A">
          <w:rPr>
            <w:rStyle w:val="Hyperlink"/>
            <w:noProof/>
          </w:rPr>
          <w:t>Appendix B - Glossary Entries</w:t>
        </w:r>
        <w:r>
          <w:rPr>
            <w:noProof/>
            <w:webHidden/>
          </w:rPr>
          <w:tab/>
        </w:r>
        <w:r>
          <w:rPr>
            <w:noProof/>
            <w:webHidden/>
          </w:rPr>
          <w:fldChar w:fldCharType="begin"/>
        </w:r>
        <w:r>
          <w:rPr>
            <w:noProof/>
            <w:webHidden/>
          </w:rPr>
          <w:instrText xml:space="preserve"> PAGEREF _Toc19023317 \h </w:instrText>
        </w:r>
        <w:r>
          <w:rPr>
            <w:noProof/>
            <w:webHidden/>
          </w:rPr>
        </w:r>
        <w:r>
          <w:rPr>
            <w:noProof/>
            <w:webHidden/>
          </w:rPr>
          <w:fldChar w:fldCharType="separate"/>
        </w:r>
        <w:r>
          <w:rPr>
            <w:noProof/>
            <w:webHidden/>
          </w:rPr>
          <w:t>11</w:t>
        </w:r>
        <w:r>
          <w:rPr>
            <w:noProof/>
            <w:webHidden/>
          </w:rPr>
          <w:fldChar w:fldCharType="end"/>
        </w:r>
      </w:hyperlink>
    </w:p>
    <w:p w14:paraId="3A69CB03" w14:textId="781C035C" w:rsidR="00285889" w:rsidRDefault="00285889">
      <w:pPr>
        <w:pStyle w:val="TOC1"/>
        <w:tabs>
          <w:tab w:val="right" w:leader="dot" w:pos="9350"/>
        </w:tabs>
        <w:rPr>
          <w:rFonts w:eastAsiaTheme="minorEastAsia" w:cstheme="minorBidi"/>
          <w:noProof/>
          <w:sz w:val="24"/>
          <w:lang w:val="de-DE" w:eastAsia="en-GB"/>
        </w:rPr>
      </w:pPr>
      <w:hyperlink w:anchor="_Toc19023318" w:history="1">
        <w:r w:rsidRPr="00B0007A">
          <w:rPr>
            <w:rStyle w:val="Hyperlink"/>
            <w:noProof/>
          </w:rPr>
          <w:t>Appendix C - Abbreviations</w:t>
        </w:r>
        <w:r>
          <w:rPr>
            <w:noProof/>
            <w:webHidden/>
          </w:rPr>
          <w:tab/>
        </w:r>
        <w:r>
          <w:rPr>
            <w:noProof/>
            <w:webHidden/>
          </w:rPr>
          <w:fldChar w:fldCharType="begin"/>
        </w:r>
        <w:r>
          <w:rPr>
            <w:noProof/>
            <w:webHidden/>
          </w:rPr>
          <w:instrText xml:space="preserve"> PAGEREF _Toc19023318 \h </w:instrText>
        </w:r>
        <w:r>
          <w:rPr>
            <w:noProof/>
            <w:webHidden/>
          </w:rPr>
        </w:r>
        <w:r>
          <w:rPr>
            <w:noProof/>
            <w:webHidden/>
          </w:rPr>
          <w:fldChar w:fldCharType="separate"/>
        </w:r>
        <w:r>
          <w:rPr>
            <w:noProof/>
            <w:webHidden/>
          </w:rPr>
          <w:t>11</w:t>
        </w:r>
        <w:r>
          <w:rPr>
            <w:noProof/>
            <w:webHidden/>
          </w:rPr>
          <w:fldChar w:fldCharType="end"/>
        </w:r>
      </w:hyperlink>
    </w:p>
    <w:p w14:paraId="079DFCDF" w14:textId="281BDE2A" w:rsidR="00285889" w:rsidRDefault="00285889">
      <w:pPr>
        <w:pStyle w:val="TOC1"/>
        <w:tabs>
          <w:tab w:val="right" w:leader="dot" w:pos="9350"/>
        </w:tabs>
        <w:rPr>
          <w:rFonts w:eastAsiaTheme="minorEastAsia" w:cstheme="minorBidi"/>
          <w:noProof/>
          <w:sz w:val="24"/>
          <w:lang w:val="de-DE" w:eastAsia="en-GB"/>
        </w:rPr>
      </w:pPr>
      <w:hyperlink w:anchor="_Toc19023319" w:history="1">
        <w:r w:rsidRPr="00B0007A">
          <w:rPr>
            <w:rStyle w:val="Hyperlink"/>
            <w:noProof/>
          </w:rPr>
          <w:t>Appendix D - Usage Examples</w:t>
        </w:r>
        <w:r>
          <w:rPr>
            <w:noProof/>
            <w:webHidden/>
          </w:rPr>
          <w:tab/>
        </w:r>
        <w:r>
          <w:rPr>
            <w:noProof/>
            <w:webHidden/>
          </w:rPr>
          <w:fldChar w:fldCharType="begin"/>
        </w:r>
        <w:r>
          <w:rPr>
            <w:noProof/>
            <w:webHidden/>
          </w:rPr>
          <w:instrText xml:space="preserve"> PAGEREF _Toc19023319 \h </w:instrText>
        </w:r>
        <w:r>
          <w:rPr>
            <w:noProof/>
            <w:webHidden/>
          </w:rPr>
        </w:r>
        <w:r>
          <w:rPr>
            <w:noProof/>
            <w:webHidden/>
          </w:rPr>
          <w:fldChar w:fldCharType="separate"/>
        </w:r>
        <w:r>
          <w:rPr>
            <w:noProof/>
            <w:webHidden/>
          </w:rPr>
          <w:t>11</w:t>
        </w:r>
        <w:r>
          <w:rPr>
            <w:noProof/>
            <w:webHidden/>
          </w:rPr>
          <w:fldChar w:fldCharType="end"/>
        </w:r>
      </w:hyperlink>
    </w:p>
    <w:p w14:paraId="52FAB520" w14:textId="7A0B3E1B" w:rsidR="00285889" w:rsidRDefault="00285889">
      <w:pPr>
        <w:pStyle w:val="TOC1"/>
        <w:tabs>
          <w:tab w:val="right" w:leader="dot" w:pos="9350"/>
        </w:tabs>
        <w:rPr>
          <w:rFonts w:eastAsiaTheme="minorEastAsia" w:cstheme="minorBidi"/>
          <w:noProof/>
          <w:sz w:val="24"/>
          <w:lang w:val="de-DE" w:eastAsia="en-GB"/>
        </w:rPr>
      </w:pPr>
      <w:hyperlink w:anchor="_Toc19023320" w:history="1">
        <w:r w:rsidRPr="00B0007A">
          <w:rPr>
            <w:rStyle w:val="Hyperlink"/>
            <w:noProof/>
          </w:rPr>
          <w:t>Appendix E – Disposition of Public Comments</w:t>
        </w:r>
        <w:r>
          <w:rPr>
            <w:noProof/>
            <w:webHidden/>
          </w:rPr>
          <w:tab/>
        </w:r>
        <w:r>
          <w:rPr>
            <w:noProof/>
            <w:webHidden/>
          </w:rPr>
          <w:fldChar w:fldCharType="begin"/>
        </w:r>
        <w:r>
          <w:rPr>
            <w:noProof/>
            <w:webHidden/>
          </w:rPr>
          <w:instrText xml:space="preserve"> PAGEREF _Toc19023320 \h </w:instrText>
        </w:r>
        <w:r>
          <w:rPr>
            <w:noProof/>
            <w:webHidden/>
          </w:rPr>
        </w:r>
        <w:r>
          <w:rPr>
            <w:noProof/>
            <w:webHidden/>
          </w:rPr>
          <w:fldChar w:fldCharType="separate"/>
        </w:r>
        <w:r>
          <w:rPr>
            <w:noProof/>
            <w:webHidden/>
          </w:rPr>
          <w:t>11</w:t>
        </w:r>
        <w:r>
          <w:rPr>
            <w:noProof/>
            <w:webHidden/>
          </w:rPr>
          <w:fldChar w:fldCharType="end"/>
        </w:r>
      </w:hyperlink>
    </w:p>
    <w:p w14:paraId="638D98FA" w14:textId="4FDDAA6C" w:rsidR="000B410A" w:rsidRPr="000B410A" w:rsidRDefault="000B410A">
      <w:r>
        <w:fldChar w:fldCharType="end"/>
      </w:r>
    </w:p>
    <w:p w14:paraId="4A32ACC6" w14:textId="77777777" w:rsidR="00640B1F" w:rsidRDefault="00640B1F" w:rsidP="00A60C32">
      <w:pPr>
        <w:pStyle w:val="Title"/>
        <w:outlineLvl w:val="9"/>
      </w:pPr>
      <w:r>
        <w:br w:type="page"/>
        <w:t>Table of Figures</w:t>
      </w:r>
    </w:p>
    <w:p w14:paraId="151B0EBC" w14:textId="77777777" w:rsidR="00640B1F" w:rsidRPr="0031072B" w:rsidRDefault="004C5FA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3D13F47C" w14:textId="739819B0" w:rsidR="00313EC3" w:rsidRDefault="00640B1F">
      <w:pPr>
        <w:pStyle w:val="Heading1"/>
        <w:numPr>
          <w:ilvl w:val="0"/>
          <w:numId w:val="0"/>
        </w:numPr>
      </w:pPr>
      <w:r>
        <w:br w:type="page"/>
      </w:r>
      <w:bookmarkStart w:id="7" w:name="_Toc105492366"/>
      <w:bookmarkStart w:id="8" w:name="_Toc116820695"/>
    </w:p>
    <w:p w14:paraId="08E7F0A3" w14:textId="5ABA8DB5" w:rsidR="00595D9C" w:rsidRDefault="00595D9C" w:rsidP="00595D9C">
      <w:pPr>
        <w:pStyle w:val="Heading1"/>
        <w:numPr>
          <w:ilvl w:val="0"/>
          <w:numId w:val="0"/>
        </w:numPr>
      </w:pPr>
      <w:bookmarkStart w:id="9" w:name="_Toc19023302"/>
      <w:r w:rsidRPr="007E7E19">
        <w:t>Document History</w:t>
      </w:r>
      <w:bookmarkEnd w:id="7"/>
      <w:bookmarkEnd w:id="8"/>
      <w:bookmarkEnd w:id="9"/>
    </w:p>
    <w:p w14:paraId="6E596D9A" w14:textId="77777777" w:rsidR="00A10223" w:rsidRPr="00A10223" w:rsidRDefault="00A10223" w:rsidP="00A10223"/>
    <w:tbl>
      <w:tblPr>
        <w:tblW w:w="96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91"/>
        <w:gridCol w:w="2520"/>
        <w:gridCol w:w="4410"/>
      </w:tblGrid>
      <w:tr w:rsidR="00595D9C" w:rsidRPr="001224E5" w14:paraId="13CAF944" w14:textId="77777777" w:rsidTr="00AD602C">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91"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AD602C">
        <w:tc>
          <w:tcPr>
            <w:tcW w:w="1188" w:type="dxa"/>
            <w:tcBorders>
              <w:top w:val="nil"/>
            </w:tcBorders>
          </w:tcPr>
          <w:p w14:paraId="6CC96457" w14:textId="22F7E121" w:rsidR="00595D9C" w:rsidRDefault="002B2D8E" w:rsidP="001224E5">
            <w:pPr>
              <w:pStyle w:val="BodyText"/>
            </w:pPr>
            <w:r>
              <w:t>0.1</w:t>
            </w:r>
          </w:p>
        </w:tc>
        <w:tc>
          <w:tcPr>
            <w:tcW w:w="1491" w:type="dxa"/>
            <w:tcBorders>
              <w:top w:val="nil"/>
            </w:tcBorders>
          </w:tcPr>
          <w:p w14:paraId="051B581E" w14:textId="0C943A47" w:rsidR="00595D9C" w:rsidRDefault="003E2C11" w:rsidP="001224E5">
            <w:pPr>
              <w:pStyle w:val="BodyText"/>
            </w:pPr>
            <w:r>
              <w:t>May 1, 2019</w:t>
            </w:r>
          </w:p>
        </w:tc>
        <w:tc>
          <w:tcPr>
            <w:tcW w:w="2520" w:type="dxa"/>
            <w:tcBorders>
              <w:top w:val="nil"/>
            </w:tcBorders>
          </w:tcPr>
          <w:p w14:paraId="051029C7" w14:textId="2D53E118" w:rsidR="003E2C11" w:rsidRDefault="003E2C11" w:rsidP="001224E5">
            <w:pPr>
              <w:pStyle w:val="BodyText"/>
            </w:pPr>
            <w:r>
              <w:t>Chris Bok, FIF</w:t>
            </w:r>
            <w:r>
              <w:br/>
              <w:t>Hanno Klein, FIX GTC</w:t>
            </w:r>
          </w:p>
        </w:tc>
        <w:tc>
          <w:tcPr>
            <w:tcW w:w="4410" w:type="dxa"/>
            <w:tcBorders>
              <w:top w:val="nil"/>
            </w:tcBorders>
          </w:tcPr>
          <w:p w14:paraId="581F7795" w14:textId="7B473580" w:rsidR="00595D9C" w:rsidRDefault="002B2D8E" w:rsidP="001224E5">
            <w:pPr>
              <w:pStyle w:val="BodyText"/>
            </w:pPr>
            <w:r>
              <w:t>Initial draft</w:t>
            </w:r>
          </w:p>
        </w:tc>
      </w:tr>
      <w:tr w:rsidR="00595D9C" w14:paraId="608BF247" w14:textId="77777777" w:rsidTr="00AD602C">
        <w:tc>
          <w:tcPr>
            <w:tcW w:w="1188" w:type="dxa"/>
          </w:tcPr>
          <w:p w14:paraId="596F3C6A" w14:textId="0409E5EC" w:rsidR="00595D9C" w:rsidRDefault="00B7262E" w:rsidP="001224E5">
            <w:pPr>
              <w:pStyle w:val="BodyText"/>
            </w:pPr>
            <w:r>
              <w:t>0.2</w:t>
            </w:r>
          </w:p>
        </w:tc>
        <w:tc>
          <w:tcPr>
            <w:tcW w:w="1491" w:type="dxa"/>
          </w:tcPr>
          <w:p w14:paraId="1B6DA1D3" w14:textId="3AB0A42A" w:rsidR="00595D9C" w:rsidRDefault="00B7262E" w:rsidP="001224E5">
            <w:pPr>
              <w:pStyle w:val="BodyText"/>
            </w:pPr>
            <w:r>
              <w:t>May 21, 2019</w:t>
            </w:r>
          </w:p>
        </w:tc>
        <w:tc>
          <w:tcPr>
            <w:tcW w:w="2520" w:type="dxa"/>
          </w:tcPr>
          <w:p w14:paraId="57E5E408" w14:textId="113E9819" w:rsidR="00595D9C" w:rsidRDefault="00B7262E" w:rsidP="001224E5">
            <w:pPr>
              <w:pStyle w:val="BodyText"/>
            </w:pPr>
            <w:r>
              <w:t>Hanno Klein, FIX GTC</w:t>
            </w:r>
          </w:p>
        </w:tc>
        <w:tc>
          <w:tcPr>
            <w:tcW w:w="4410" w:type="dxa"/>
          </w:tcPr>
          <w:p w14:paraId="2969F294" w14:textId="592CCBBE" w:rsidR="00595D9C" w:rsidRDefault="00B7262E" w:rsidP="001224E5">
            <w:pPr>
              <w:pStyle w:val="BodyText"/>
            </w:pPr>
            <w:r>
              <w:t>Minor updates</w:t>
            </w:r>
          </w:p>
        </w:tc>
      </w:tr>
      <w:tr w:rsidR="0021772B" w14:paraId="7ED7A370" w14:textId="77777777" w:rsidTr="00AD602C">
        <w:tc>
          <w:tcPr>
            <w:tcW w:w="1188" w:type="dxa"/>
          </w:tcPr>
          <w:p w14:paraId="73DA77D0" w14:textId="4293A36F" w:rsidR="0021772B" w:rsidRDefault="0021772B" w:rsidP="0021772B">
            <w:pPr>
              <w:pStyle w:val="BodyText"/>
            </w:pPr>
            <w:r>
              <w:t>0.3</w:t>
            </w:r>
          </w:p>
        </w:tc>
        <w:tc>
          <w:tcPr>
            <w:tcW w:w="1491" w:type="dxa"/>
          </w:tcPr>
          <w:p w14:paraId="1F336797" w14:textId="38113CD1" w:rsidR="0021772B" w:rsidRDefault="0021772B" w:rsidP="0021772B">
            <w:pPr>
              <w:pStyle w:val="BodyText"/>
            </w:pPr>
            <w:r>
              <w:t>May 29, 2019</w:t>
            </w:r>
          </w:p>
        </w:tc>
        <w:tc>
          <w:tcPr>
            <w:tcW w:w="2520" w:type="dxa"/>
          </w:tcPr>
          <w:p w14:paraId="1219DD9B" w14:textId="3BEACF5C" w:rsidR="0021772B" w:rsidRDefault="0021772B" w:rsidP="0021772B">
            <w:pPr>
              <w:pStyle w:val="BodyText"/>
            </w:pPr>
            <w:r>
              <w:t>Hanno Klein, FIX GTC</w:t>
            </w:r>
          </w:p>
        </w:tc>
        <w:tc>
          <w:tcPr>
            <w:tcW w:w="4410" w:type="dxa"/>
          </w:tcPr>
          <w:p w14:paraId="05573D4F" w14:textId="304840A8" w:rsidR="0021772B" w:rsidRDefault="0021772B" w:rsidP="0021772B">
            <w:pPr>
              <w:pStyle w:val="BodyText"/>
            </w:pPr>
            <w:r>
              <w:t xml:space="preserve">Added requirements from </w:t>
            </w:r>
            <w:r w:rsidR="005500C9">
              <w:t xml:space="preserve">the </w:t>
            </w:r>
            <w:r w:rsidR="002F00D6">
              <w:t>FIX Execution Venue</w:t>
            </w:r>
            <w:r w:rsidR="005500C9">
              <w:t xml:space="preserve"> Working Group</w:t>
            </w:r>
            <w:r>
              <w:t xml:space="preserve"> for</w:t>
            </w:r>
            <w:r w:rsidR="005500C9">
              <w:t xml:space="preserve"> </w:t>
            </w:r>
            <w:r w:rsidR="006D13FA">
              <w:t>additional</w:t>
            </w:r>
            <w:r w:rsidR="005500C9">
              <w:t xml:space="preserve"> liquidity indicators related to </w:t>
            </w:r>
            <w:r w:rsidR="006D13FA">
              <w:t xml:space="preserve">orders requiring a </w:t>
            </w:r>
            <w:r w:rsidR="00A56823">
              <w:t xml:space="preserve">firm order commit </w:t>
            </w:r>
            <w:r w:rsidR="006D13FA">
              <w:t>prior to execution</w:t>
            </w:r>
            <w:r w:rsidR="005500C9">
              <w:t>.</w:t>
            </w:r>
          </w:p>
        </w:tc>
      </w:tr>
      <w:tr w:rsidR="0021772B" w14:paraId="0454FF51" w14:textId="77777777" w:rsidTr="00AD602C">
        <w:tc>
          <w:tcPr>
            <w:tcW w:w="1188" w:type="dxa"/>
          </w:tcPr>
          <w:p w14:paraId="31A5F22E" w14:textId="354CF1BD" w:rsidR="0021772B" w:rsidRDefault="00A56823" w:rsidP="0021772B">
            <w:pPr>
              <w:pStyle w:val="BodyText"/>
            </w:pPr>
            <w:r>
              <w:t>0.4</w:t>
            </w:r>
          </w:p>
        </w:tc>
        <w:tc>
          <w:tcPr>
            <w:tcW w:w="1491" w:type="dxa"/>
          </w:tcPr>
          <w:p w14:paraId="4648972B" w14:textId="3D5EBC0E" w:rsidR="0021772B" w:rsidRDefault="00A56823" w:rsidP="0021772B">
            <w:pPr>
              <w:pStyle w:val="BodyText"/>
            </w:pPr>
            <w:r>
              <w:t>June 1</w:t>
            </w:r>
            <w:r w:rsidR="00865658">
              <w:t>9</w:t>
            </w:r>
            <w:r>
              <w:t>, 2019</w:t>
            </w:r>
          </w:p>
        </w:tc>
        <w:tc>
          <w:tcPr>
            <w:tcW w:w="2520" w:type="dxa"/>
          </w:tcPr>
          <w:p w14:paraId="69DC18E5" w14:textId="4ACC9DE2" w:rsidR="0021772B" w:rsidRDefault="00A56823" w:rsidP="0021772B">
            <w:pPr>
              <w:pStyle w:val="BodyText"/>
            </w:pPr>
            <w:r>
              <w:t>Hanno Klein, FIX GTC</w:t>
            </w:r>
          </w:p>
        </w:tc>
        <w:tc>
          <w:tcPr>
            <w:tcW w:w="4410" w:type="dxa"/>
          </w:tcPr>
          <w:p w14:paraId="3BB405F3" w14:textId="21461C46" w:rsidR="0021772B" w:rsidRDefault="00A56823" w:rsidP="0021772B">
            <w:pPr>
              <w:pStyle w:val="BodyText"/>
            </w:pPr>
            <w:r>
              <w:t>Minor changes to the wording used for orders requiring a firm order commit prior to execution.</w:t>
            </w:r>
          </w:p>
        </w:tc>
      </w:tr>
      <w:tr w:rsidR="0021772B" w14:paraId="07C87C02" w14:textId="77777777" w:rsidTr="00AD602C">
        <w:tc>
          <w:tcPr>
            <w:tcW w:w="1188" w:type="dxa"/>
          </w:tcPr>
          <w:p w14:paraId="4BD37734" w14:textId="73BD06D6" w:rsidR="0021772B" w:rsidRDefault="006F1D63" w:rsidP="0021772B">
            <w:pPr>
              <w:pStyle w:val="BodyText"/>
            </w:pPr>
            <w:r>
              <w:t>0.5</w:t>
            </w:r>
          </w:p>
        </w:tc>
        <w:tc>
          <w:tcPr>
            <w:tcW w:w="1491" w:type="dxa"/>
          </w:tcPr>
          <w:p w14:paraId="0A90E940" w14:textId="17DF4D59" w:rsidR="0021772B" w:rsidRDefault="006F1D63" w:rsidP="0021772B">
            <w:pPr>
              <w:pStyle w:val="BodyText"/>
            </w:pPr>
            <w:r>
              <w:t>Sep 10, 2019</w:t>
            </w:r>
          </w:p>
        </w:tc>
        <w:tc>
          <w:tcPr>
            <w:tcW w:w="2520" w:type="dxa"/>
          </w:tcPr>
          <w:p w14:paraId="7450EA2E" w14:textId="605137C8" w:rsidR="0021772B" w:rsidRDefault="006F1D63" w:rsidP="0021772B">
            <w:pPr>
              <w:pStyle w:val="BodyText"/>
            </w:pPr>
            <w:r>
              <w:t>Hanno Klein, FIX GTC</w:t>
            </w:r>
          </w:p>
        </w:tc>
        <w:tc>
          <w:tcPr>
            <w:tcW w:w="4410" w:type="dxa"/>
          </w:tcPr>
          <w:p w14:paraId="5F34CDD0" w14:textId="1AD3BA96" w:rsidR="0021772B" w:rsidRDefault="00285889" w:rsidP="0021772B">
            <w:pPr>
              <w:pStyle w:val="BodyText"/>
            </w:pPr>
            <w:r>
              <w:t>Disposition of p</w:t>
            </w:r>
            <w:r w:rsidR="006F1D63">
              <w:t>ublic comments</w:t>
            </w:r>
          </w:p>
        </w:tc>
      </w:tr>
      <w:tr w:rsidR="0021772B" w14:paraId="53064CD1" w14:textId="77777777" w:rsidTr="00AD602C">
        <w:tc>
          <w:tcPr>
            <w:tcW w:w="1188" w:type="dxa"/>
          </w:tcPr>
          <w:p w14:paraId="314A0B3B" w14:textId="77777777" w:rsidR="0021772B" w:rsidRDefault="0021772B" w:rsidP="0021772B">
            <w:pPr>
              <w:pStyle w:val="BodyText"/>
            </w:pPr>
          </w:p>
        </w:tc>
        <w:tc>
          <w:tcPr>
            <w:tcW w:w="1491" w:type="dxa"/>
          </w:tcPr>
          <w:p w14:paraId="009D9A3F" w14:textId="77777777" w:rsidR="0021772B" w:rsidRDefault="0021772B" w:rsidP="0021772B">
            <w:pPr>
              <w:pStyle w:val="BodyText"/>
            </w:pPr>
          </w:p>
        </w:tc>
        <w:tc>
          <w:tcPr>
            <w:tcW w:w="2520" w:type="dxa"/>
          </w:tcPr>
          <w:p w14:paraId="39332520" w14:textId="77777777" w:rsidR="0021772B" w:rsidRDefault="0021772B" w:rsidP="0021772B">
            <w:pPr>
              <w:pStyle w:val="BodyText"/>
            </w:pPr>
          </w:p>
        </w:tc>
        <w:tc>
          <w:tcPr>
            <w:tcW w:w="4410" w:type="dxa"/>
          </w:tcPr>
          <w:p w14:paraId="7A2405FA" w14:textId="77777777" w:rsidR="0021772B" w:rsidRDefault="0021772B" w:rsidP="0021772B">
            <w:pPr>
              <w:pStyle w:val="BodyText"/>
            </w:pPr>
          </w:p>
        </w:tc>
      </w:tr>
      <w:tr w:rsidR="0021772B" w14:paraId="71569BF0" w14:textId="77777777" w:rsidTr="00AD602C">
        <w:tc>
          <w:tcPr>
            <w:tcW w:w="1188" w:type="dxa"/>
          </w:tcPr>
          <w:p w14:paraId="33BDD7A7" w14:textId="77777777" w:rsidR="0021772B" w:rsidRDefault="0021772B" w:rsidP="0021772B">
            <w:pPr>
              <w:pStyle w:val="BodyText"/>
            </w:pPr>
          </w:p>
        </w:tc>
        <w:tc>
          <w:tcPr>
            <w:tcW w:w="1491" w:type="dxa"/>
          </w:tcPr>
          <w:p w14:paraId="1506E076" w14:textId="77777777" w:rsidR="0021772B" w:rsidRDefault="0021772B" w:rsidP="0021772B">
            <w:pPr>
              <w:pStyle w:val="BodyText"/>
            </w:pPr>
          </w:p>
        </w:tc>
        <w:tc>
          <w:tcPr>
            <w:tcW w:w="2520" w:type="dxa"/>
          </w:tcPr>
          <w:p w14:paraId="43DDCA96" w14:textId="77777777" w:rsidR="0021772B" w:rsidRDefault="0021772B" w:rsidP="0021772B">
            <w:pPr>
              <w:pStyle w:val="BodyText"/>
            </w:pPr>
          </w:p>
        </w:tc>
        <w:tc>
          <w:tcPr>
            <w:tcW w:w="4410" w:type="dxa"/>
          </w:tcPr>
          <w:p w14:paraId="2EB1AD6B" w14:textId="77777777" w:rsidR="0021772B" w:rsidRDefault="0021772B" w:rsidP="0021772B">
            <w:pPr>
              <w:pStyle w:val="BodyText"/>
            </w:pPr>
          </w:p>
        </w:tc>
      </w:tr>
      <w:tr w:rsidR="0021772B" w14:paraId="656F3492" w14:textId="77777777" w:rsidTr="00AD602C">
        <w:tc>
          <w:tcPr>
            <w:tcW w:w="1188" w:type="dxa"/>
          </w:tcPr>
          <w:p w14:paraId="22A93DA0" w14:textId="77777777" w:rsidR="0021772B" w:rsidRDefault="0021772B" w:rsidP="0021772B">
            <w:pPr>
              <w:pStyle w:val="BodyText"/>
            </w:pPr>
          </w:p>
        </w:tc>
        <w:tc>
          <w:tcPr>
            <w:tcW w:w="1491" w:type="dxa"/>
          </w:tcPr>
          <w:p w14:paraId="51ADEB48" w14:textId="77777777" w:rsidR="0021772B" w:rsidRDefault="0021772B" w:rsidP="0021772B">
            <w:pPr>
              <w:pStyle w:val="BodyText"/>
            </w:pPr>
          </w:p>
        </w:tc>
        <w:tc>
          <w:tcPr>
            <w:tcW w:w="2520" w:type="dxa"/>
          </w:tcPr>
          <w:p w14:paraId="1827FFED" w14:textId="77777777" w:rsidR="0021772B" w:rsidRDefault="0021772B" w:rsidP="0021772B">
            <w:pPr>
              <w:pStyle w:val="BodyText"/>
            </w:pPr>
          </w:p>
        </w:tc>
        <w:tc>
          <w:tcPr>
            <w:tcW w:w="4410" w:type="dxa"/>
          </w:tcPr>
          <w:p w14:paraId="5191E79C" w14:textId="77777777" w:rsidR="0021772B" w:rsidRDefault="0021772B" w:rsidP="0021772B">
            <w:pPr>
              <w:pStyle w:val="BodyText"/>
            </w:pPr>
          </w:p>
        </w:tc>
      </w:tr>
      <w:tr w:rsidR="0021772B" w14:paraId="5BAF3F42" w14:textId="77777777" w:rsidTr="00AD602C">
        <w:tc>
          <w:tcPr>
            <w:tcW w:w="1188" w:type="dxa"/>
          </w:tcPr>
          <w:p w14:paraId="7640AA44" w14:textId="77777777" w:rsidR="0021772B" w:rsidRDefault="0021772B" w:rsidP="0021772B">
            <w:pPr>
              <w:pStyle w:val="BodyText"/>
            </w:pPr>
          </w:p>
        </w:tc>
        <w:tc>
          <w:tcPr>
            <w:tcW w:w="1491" w:type="dxa"/>
          </w:tcPr>
          <w:p w14:paraId="29D0DBC1" w14:textId="77777777" w:rsidR="0021772B" w:rsidRDefault="0021772B" w:rsidP="0021772B">
            <w:pPr>
              <w:pStyle w:val="BodyText"/>
            </w:pPr>
          </w:p>
        </w:tc>
        <w:tc>
          <w:tcPr>
            <w:tcW w:w="2520" w:type="dxa"/>
          </w:tcPr>
          <w:p w14:paraId="4C8B4810" w14:textId="77777777" w:rsidR="0021772B" w:rsidRDefault="0021772B" w:rsidP="0021772B">
            <w:pPr>
              <w:pStyle w:val="BodyText"/>
            </w:pPr>
          </w:p>
        </w:tc>
        <w:tc>
          <w:tcPr>
            <w:tcW w:w="4410" w:type="dxa"/>
          </w:tcPr>
          <w:p w14:paraId="16587C8F" w14:textId="77777777" w:rsidR="0021772B" w:rsidRDefault="0021772B" w:rsidP="0021772B">
            <w:pPr>
              <w:pStyle w:val="BodyText"/>
            </w:pPr>
          </w:p>
        </w:tc>
      </w:tr>
      <w:tr w:rsidR="0021772B" w14:paraId="2E53AC8A" w14:textId="77777777" w:rsidTr="00AD602C">
        <w:tc>
          <w:tcPr>
            <w:tcW w:w="1188" w:type="dxa"/>
          </w:tcPr>
          <w:p w14:paraId="6D1AA17D" w14:textId="77777777" w:rsidR="0021772B" w:rsidRDefault="0021772B" w:rsidP="0021772B">
            <w:pPr>
              <w:pStyle w:val="BodyText"/>
            </w:pPr>
          </w:p>
        </w:tc>
        <w:tc>
          <w:tcPr>
            <w:tcW w:w="1491" w:type="dxa"/>
          </w:tcPr>
          <w:p w14:paraId="31B2226F" w14:textId="77777777" w:rsidR="0021772B" w:rsidRDefault="0021772B" w:rsidP="0021772B">
            <w:pPr>
              <w:pStyle w:val="BodyText"/>
            </w:pPr>
          </w:p>
        </w:tc>
        <w:tc>
          <w:tcPr>
            <w:tcW w:w="2520" w:type="dxa"/>
          </w:tcPr>
          <w:p w14:paraId="19DFD711" w14:textId="77777777" w:rsidR="0021772B" w:rsidRDefault="0021772B" w:rsidP="0021772B">
            <w:pPr>
              <w:pStyle w:val="BodyText"/>
            </w:pPr>
          </w:p>
        </w:tc>
        <w:tc>
          <w:tcPr>
            <w:tcW w:w="4410" w:type="dxa"/>
          </w:tcPr>
          <w:p w14:paraId="3B4A5961" w14:textId="77777777" w:rsidR="0021772B" w:rsidRDefault="0021772B" w:rsidP="0021772B">
            <w:pPr>
              <w:pStyle w:val="BodyText"/>
            </w:pPr>
          </w:p>
        </w:tc>
      </w:tr>
      <w:tr w:rsidR="0021772B" w14:paraId="601FCFED" w14:textId="77777777" w:rsidTr="00AD602C">
        <w:tc>
          <w:tcPr>
            <w:tcW w:w="1188" w:type="dxa"/>
          </w:tcPr>
          <w:p w14:paraId="5B0EFCDA" w14:textId="77777777" w:rsidR="0021772B" w:rsidRDefault="0021772B" w:rsidP="0021772B">
            <w:pPr>
              <w:pStyle w:val="BodyText"/>
            </w:pPr>
          </w:p>
        </w:tc>
        <w:tc>
          <w:tcPr>
            <w:tcW w:w="1491" w:type="dxa"/>
          </w:tcPr>
          <w:p w14:paraId="6907256A" w14:textId="77777777" w:rsidR="0021772B" w:rsidRDefault="0021772B" w:rsidP="0021772B">
            <w:pPr>
              <w:pStyle w:val="BodyText"/>
            </w:pPr>
          </w:p>
        </w:tc>
        <w:tc>
          <w:tcPr>
            <w:tcW w:w="2520" w:type="dxa"/>
          </w:tcPr>
          <w:p w14:paraId="523334C4" w14:textId="77777777" w:rsidR="0021772B" w:rsidRDefault="0021772B" w:rsidP="0021772B">
            <w:pPr>
              <w:pStyle w:val="BodyText"/>
            </w:pPr>
          </w:p>
        </w:tc>
        <w:tc>
          <w:tcPr>
            <w:tcW w:w="4410" w:type="dxa"/>
          </w:tcPr>
          <w:p w14:paraId="117C1434" w14:textId="77777777" w:rsidR="0021772B" w:rsidRDefault="0021772B" w:rsidP="0021772B">
            <w:pPr>
              <w:pStyle w:val="BodyText"/>
            </w:pPr>
          </w:p>
        </w:tc>
      </w:tr>
      <w:tr w:rsidR="0021772B" w14:paraId="57B13C18" w14:textId="77777777" w:rsidTr="00AD602C">
        <w:tc>
          <w:tcPr>
            <w:tcW w:w="1188" w:type="dxa"/>
          </w:tcPr>
          <w:p w14:paraId="3F78AA6A" w14:textId="77777777" w:rsidR="0021772B" w:rsidRDefault="0021772B" w:rsidP="0021772B">
            <w:pPr>
              <w:pStyle w:val="BodyText"/>
            </w:pPr>
          </w:p>
        </w:tc>
        <w:tc>
          <w:tcPr>
            <w:tcW w:w="1491" w:type="dxa"/>
          </w:tcPr>
          <w:p w14:paraId="132E6CE4" w14:textId="77777777" w:rsidR="0021772B" w:rsidRDefault="0021772B" w:rsidP="0021772B">
            <w:pPr>
              <w:pStyle w:val="BodyText"/>
            </w:pPr>
          </w:p>
        </w:tc>
        <w:tc>
          <w:tcPr>
            <w:tcW w:w="2520" w:type="dxa"/>
          </w:tcPr>
          <w:p w14:paraId="77142C22" w14:textId="77777777" w:rsidR="0021772B" w:rsidRDefault="0021772B" w:rsidP="0021772B">
            <w:pPr>
              <w:pStyle w:val="BodyText"/>
            </w:pPr>
          </w:p>
        </w:tc>
        <w:tc>
          <w:tcPr>
            <w:tcW w:w="4410" w:type="dxa"/>
          </w:tcPr>
          <w:p w14:paraId="5BEE153A" w14:textId="77777777" w:rsidR="0021772B" w:rsidRDefault="0021772B" w:rsidP="0021772B">
            <w:pPr>
              <w:pStyle w:val="BodyText"/>
            </w:pPr>
          </w:p>
        </w:tc>
      </w:tr>
      <w:tr w:rsidR="0021772B" w14:paraId="40472B81" w14:textId="77777777" w:rsidTr="00AD602C">
        <w:tc>
          <w:tcPr>
            <w:tcW w:w="1188" w:type="dxa"/>
          </w:tcPr>
          <w:p w14:paraId="455B3F62" w14:textId="77777777" w:rsidR="0021772B" w:rsidRDefault="0021772B" w:rsidP="0021772B">
            <w:pPr>
              <w:pStyle w:val="BodyText"/>
            </w:pPr>
          </w:p>
        </w:tc>
        <w:tc>
          <w:tcPr>
            <w:tcW w:w="1491" w:type="dxa"/>
          </w:tcPr>
          <w:p w14:paraId="589B6433" w14:textId="77777777" w:rsidR="0021772B" w:rsidRDefault="0021772B" w:rsidP="0021772B">
            <w:pPr>
              <w:pStyle w:val="BodyText"/>
            </w:pPr>
          </w:p>
        </w:tc>
        <w:tc>
          <w:tcPr>
            <w:tcW w:w="2520" w:type="dxa"/>
          </w:tcPr>
          <w:p w14:paraId="5C5FCAF2" w14:textId="77777777" w:rsidR="0021772B" w:rsidRDefault="0021772B" w:rsidP="0021772B">
            <w:pPr>
              <w:pStyle w:val="BodyText"/>
            </w:pPr>
          </w:p>
        </w:tc>
        <w:tc>
          <w:tcPr>
            <w:tcW w:w="4410" w:type="dxa"/>
          </w:tcPr>
          <w:p w14:paraId="61F99E9F" w14:textId="77777777" w:rsidR="0021772B" w:rsidRDefault="0021772B" w:rsidP="0021772B">
            <w:pPr>
              <w:pStyle w:val="BodyText"/>
            </w:pPr>
          </w:p>
        </w:tc>
      </w:tr>
      <w:tr w:rsidR="0021772B" w14:paraId="35A791BB" w14:textId="77777777" w:rsidTr="00AD602C">
        <w:tc>
          <w:tcPr>
            <w:tcW w:w="1188" w:type="dxa"/>
          </w:tcPr>
          <w:p w14:paraId="055CC35E" w14:textId="77777777" w:rsidR="0021772B" w:rsidRDefault="0021772B" w:rsidP="0021772B">
            <w:pPr>
              <w:pStyle w:val="BodyText"/>
            </w:pPr>
          </w:p>
        </w:tc>
        <w:tc>
          <w:tcPr>
            <w:tcW w:w="1491" w:type="dxa"/>
          </w:tcPr>
          <w:p w14:paraId="52BF95E9" w14:textId="77777777" w:rsidR="0021772B" w:rsidRDefault="0021772B" w:rsidP="0021772B">
            <w:pPr>
              <w:pStyle w:val="BodyText"/>
            </w:pPr>
          </w:p>
        </w:tc>
        <w:tc>
          <w:tcPr>
            <w:tcW w:w="2520" w:type="dxa"/>
          </w:tcPr>
          <w:p w14:paraId="1AE6DE4B" w14:textId="77777777" w:rsidR="0021772B" w:rsidRDefault="0021772B" w:rsidP="0021772B">
            <w:pPr>
              <w:pStyle w:val="BodyText"/>
            </w:pPr>
          </w:p>
        </w:tc>
        <w:tc>
          <w:tcPr>
            <w:tcW w:w="4410" w:type="dxa"/>
          </w:tcPr>
          <w:p w14:paraId="25EAA423" w14:textId="77777777" w:rsidR="0021772B" w:rsidRDefault="0021772B" w:rsidP="0021772B">
            <w:pPr>
              <w:pStyle w:val="BodyText"/>
            </w:pPr>
          </w:p>
        </w:tc>
      </w:tr>
      <w:tr w:rsidR="0021772B" w14:paraId="3217D5DA" w14:textId="77777777" w:rsidTr="00AD602C">
        <w:tc>
          <w:tcPr>
            <w:tcW w:w="1188" w:type="dxa"/>
          </w:tcPr>
          <w:p w14:paraId="788E838E" w14:textId="77777777" w:rsidR="0021772B" w:rsidRDefault="0021772B" w:rsidP="0021772B">
            <w:pPr>
              <w:pStyle w:val="BodyText"/>
            </w:pPr>
          </w:p>
        </w:tc>
        <w:tc>
          <w:tcPr>
            <w:tcW w:w="1491" w:type="dxa"/>
          </w:tcPr>
          <w:p w14:paraId="0E59C983" w14:textId="77777777" w:rsidR="0021772B" w:rsidRDefault="0021772B" w:rsidP="0021772B">
            <w:pPr>
              <w:pStyle w:val="BodyText"/>
            </w:pPr>
          </w:p>
        </w:tc>
        <w:tc>
          <w:tcPr>
            <w:tcW w:w="2520" w:type="dxa"/>
          </w:tcPr>
          <w:p w14:paraId="259461DC" w14:textId="77777777" w:rsidR="0021772B" w:rsidRDefault="0021772B" w:rsidP="0021772B">
            <w:pPr>
              <w:pStyle w:val="BodyText"/>
            </w:pPr>
          </w:p>
        </w:tc>
        <w:tc>
          <w:tcPr>
            <w:tcW w:w="4410" w:type="dxa"/>
          </w:tcPr>
          <w:p w14:paraId="487B0266" w14:textId="77777777" w:rsidR="0021772B" w:rsidRDefault="0021772B" w:rsidP="0021772B">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Default="00595D9C" w:rsidP="00E97DA5">
      <w:pPr>
        <w:pStyle w:val="Heading1"/>
      </w:pPr>
      <w:r>
        <w:br w:type="page"/>
      </w:r>
      <w:bookmarkStart w:id="10" w:name="_Toc19023303"/>
      <w:r w:rsidRPr="00EB3995">
        <w:t>Introduction</w:t>
      </w:r>
      <w:bookmarkEnd w:id="10"/>
    </w:p>
    <w:p w14:paraId="24A68A15" w14:textId="78A5E5E0" w:rsidR="005500C9" w:rsidRPr="007146FC" w:rsidRDefault="005500C9" w:rsidP="00366313">
      <w:pPr>
        <w:spacing w:before="100" w:beforeAutospacing="1" w:after="100" w:afterAutospacing="1"/>
        <w:rPr>
          <w:color w:val="000000"/>
          <w:szCs w:val="22"/>
        </w:rPr>
      </w:pPr>
      <w:bookmarkStart w:id="11" w:name="_Toc531725439"/>
      <w:bookmarkStart w:id="12" w:name="_Toc531726084"/>
      <w:bookmarkEnd w:id="11"/>
      <w:bookmarkEnd w:id="12"/>
      <w:r w:rsidRPr="007146FC">
        <w:rPr>
          <w:color w:val="000000"/>
          <w:szCs w:val="22"/>
        </w:rPr>
        <w:t xml:space="preserve">This extension proposal combines independent requirements related to the FIX field </w:t>
      </w:r>
      <w:proofErr w:type="spellStart"/>
      <w:r w:rsidRPr="007146FC">
        <w:rPr>
          <w:color w:val="000000"/>
          <w:szCs w:val="22"/>
        </w:rPr>
        <w:t>LastLiquidity</w:t>
      </w:r>
      <w:proofErr w:type="spellEnd"/>
      <w:r w:rsidRPr="007146FC">
        <w:rPr>
          <w:color w:val="000000"/>
          <w:szCs w:val="22"/>
        </w:rPr>
        <w:t xml:space="preserve">(851) from </w:t>
      </w:r>
      <w:r w:rsidR="006D13FA" w:rsidRPr="007146FC">
        <w:rPr>
          <w:color w:val="000000"/>
          <w:szCs w:val="22"/>
        </w:rPr>
        <w:t xml:space="preserve">FIX working groups in </w:t>
      </w:r>
      <w:r w:rsidRPr="007146FC">
        <w:rPr>
          <w:color w:val="000000"/>
          <w:szCs w:val="22"/>
        </w:rPr>
        <w:t>the US and Europe. They are combined in this single document for efficiency.</w:t>
      </w:r>
    </w:p>
    <w:p w14:paraId="7F8E04F3" w14:textId="1283742A" w:rsidR="005500C9" w:rsidRDefault="00CB6E03" w:rsidP="007146FC">
      <w:pPr>
        <w:pStyle w:val="Heading2"/>
      </w:pPr>
      <w:bookmarkStart w:id="13" w:name="_Toc19023304"/>
      <w:r>
        <w:t>FIF/FIX Regulatory Reporting Working Group</w:t>
      </w:r>
      <w:bookmarkEnd w:id="13"/>
    </w:p>
    <w:p w14:paraId="468553E7" w14:textId="59FAA4B8" w:rsidR="00EB3995" w:rsidRPr="007146FC" w:rsidRDefault="00366313" w:rsidP="00366313">
      <w:pPr>
        <w:spacing w:before="100" w:beforeAutospacing="1" w:after="100" w:afterAutospacing="1"/>
        <w:rPr>
          <w:color w:val="000000"/>
          <w:szCs w:val="22"/>
        </w:rPr>
      </w:pPr>
      <w:r w:rsidRPr="007146FC">
        <w:rPr>
          <w:color w:val="000000"/>
          <w:szCs w:val="22"/>
        </w:rPr>
        <w:t xml:space="preserve">During November 2018, the US Securities and Exchange Commission (SEC) adopted amendments to SEC Rule 606. Pursuant to these amendments, broker-dealers must provide additional information to customers relating to their handling and execution of customer orders. For broker-dealers to provide this information to customers, exchanges and other execution venues will need to provide additional information to their customers. More particularly, for a broker to fulfill its reporting requirements, each execution venue must </w:t>
      </w:r>
      <w:r w:rsidR="007E38E2" w:rsidRPr="007146FC">
        <w:rPr>
          <w:color w:val="000000"/>
          <w:szCs w:val="22"/>
        </w:rPr>
        <w:t>provide the</w:t>
      </w:r>
      <w:r w:rsidR="00B7262E" w:rsidRPr="007146FC">
        <w:rPr>
          <w:color w:val="000000"/>
          <w:szCs w:val="22"/>
        </w:rPr>
        <w:t xml:space="preserve"> </w:t>
      </w:r>
      <w:r w:rsidRPr="007146FC">
        <w:rPr>
          <w:color w:val="000000"/>
          <w:szCs w:val="22"/>
        </w:rPr>
        <w:t>broker</w:t>
      </w:r>
      <w:r w:rsidR="00B7262E" w:rsidRPr="007146FC">
        <w:rPr>
          <w:color w:val="000000"/>
          <w:szCs w:val="22"/>
        </w:rPr>
        <w:t>,</w:t>
      </w:r>
      <w:r w:rsidR="007E38E2" w:rsidRPr="007146FC">
        <w:rPr>
          <w:color w:val="000000"/>
          <w:szCs w:val="22"/>
        </w:rPr>
        <w:t xml:space="preserve"> that </w:t>
      </w:r>
      <w:r w:rsidR="000845F0" w:rsidRPr="007146FC">
        <w:rPr>
          <w:color w:val="000000"/>
          <w:szCs w:val="22"/>
        </w:rPr>
        <w:t xml:space="preserve">the venue </w:t>
      </w:r>
      <w:r w:rsidR="007E38E2" w:rsidRPr="007146FC">
        <w:rPr>
          <w:color w:val="000000"/>
          <w:szCs w:val="22"/>
        </w:rPr>
        <w:t>received an order from</w:t>
      </w:r>
      <w:r w:rsidR="00B7262E" w:rsidRPr="007146FC">
        <w:rPr>
          <w:color w:val="000000"/>
          <w:szCs w:val="22"/>
        </w:rPr>
        <w:t>,</w:t>
      </w:r>
      <w:r w:rsidR="007E38E2" w:rsidRPr="007146FC">
        <w:rPr>
          <w:color w:val="000000"/>
          <w:szCs w:val="22"/>
        </w:rPr>
        <w:t xml:space="preserve"> </w:t>
      </w:r>
      <w:r w:rsidR="000845F0" w:rsidRPr="007146FC">
        <w:rPr>
          <w:color w:val="000000"/>
          <w:szCs w:val="22"/>
        </w:rPr>
        <w:t xml:space="preserve">with </w:t>
      </w:r>
      <w:r w:rsidR="007E38E2" w:rsidRPr="007146FC">
        <w:rPr>
          <w:color w:val="000000"/>
          <w:szCs w:val="22"/>
        </w:rPr>
        <w:t>information pertaining to</w:t>
      </w:r>
      <w:r w:rsidR="00B7262E" w:rsidRPr="007146FC">
        <w:rPr>
          <w:color w:val="000000"/>
          <w:szCs w:val="22"/>
        </w:rPr>
        <w:t xml:space="preserve"> </w:t>
      </w:r>
      <w:r w:rsidRPr="007146FC">
        <w:rPr>
          <w:color w:val="000000"/>
          <w:szCs w:val="22"/>
        </w:rPr>
        <w:t>each executed order</w:t>
      </w:r>
      <w:r w:rsidR="007E38E2" w:rsidRPr="007146FC">
        <w:rPr>
          <w:color w:val="000000"/>
          <w:szCs w:val="22"/>
        </w:rPr>
        <w:t>, including</w:t>
      </w:r>
      <w:r w:rsidRPr="007146FC">
        <w:rPr>
          <w:color w:val="000000"/>
          <w:szCs w:val="22"/>
        </w:rPr>
        <w:t xml:space="preserve"> whether the order provided liquidity, removed liquidity, or neither provided nor removed liquidity. </w:t>
      </w:r>
      <w:r w:rsidR="0049550D" w:rsidRPr="007146FC">
        <w:rPr>
          <w:color w:val="000000"/>
          <w:szCs w:val="22"/>
        </w:rPr>
        <w:t>C</w:t>
      </w:r>
      <w:r w:rsidRPr="007146FC">
        <w:rPr>
          <w:color w:val="000000"/>
          <w:szCs w:val="22"/>
        </w:rPr>
        <w:t xml:space="preserve">urrently </w:t>
      </w:r>
      <w:r w:rsidR="0049550D" w:rsidRPr="007146FC">
        <w:rPr>
          <w:color w:val="000000"/>
          <w:szCs w:val="22"/>
        </w:rPr>
        <w:t xml:space="preserve">the FIX field </w:t>
      </w:r>
      <w:proofErr w:type="spellStart"/>
      <w:r w:rsidR="0049550D" w:rsidRPr="007146FC">
        <w:rPr>
          <w:color w:val="000000"/>
          <w:szCs w:val="22"/>
        </w:rPr>
        <w:t>LastLiquidity</w:t>
      </w:r>
      <w:proofErr w:type="spellEnd"/>
      <w:r w:rsidR="0049550D" w:rsidRPr="007146FC">
        <w:rPr>
          <w:color w:val="000000"/>
          <w:szCs w:val="22"/>
        </w:rPr>
        <w:t xml:space="preserve">(851) </w:t>
      </w:r>
      <w:r w:rsidRPr="007146FC">
        <w:rPr>
          <w:color w:val="000000"/>
          <w:szCs w:val="22"/>
        </w:rPr>
        <w:t xml:space="preserve">provides values for reporting that an order provided liquidity or removed liquidity. </w:t>
      </w:r>
      <w:r w:rsidR="0049550D" w:rsidRPr="007146FC">
        <w:rPr>
          <w:color w:val="000000"/>
          <w:szCs w:val="22"/>
        </w:rPr>
        <w:t xml:space="preserve">To meet this SEC reporting </w:t>
      </w:r>
      <w:proofErr w:type="gramStart"/>
      <w:r w:rsidR="0049550D" w:rsidRPr="007146FC">
        <w:rPr>
          <w:color w:val="000000"/>
          <w:szCs w:val="22"/>
        </w:rPr>
        <w:t>requirement</w:t>
      </w:r>
      <w:proofErr w:type="gramEnd"/>
      <w:r w:rsidR="0049550D" w:rsidRPr="007146FC">
        <w:rPr>
          <w:color w:val="000000"/>
          <w:szCs w:val="22"/>
        </w:rPr>
        <w:t xml:space="preserve"> w</w:t>
      </w:r>
      <w:r w:rsidRPr="007146FC">
        <w:rPr>
          <w:color w:val="000000"/>
          <w:szCs w:val="22"/>
        </w:rPr>
        <w:t xml:space="preserve">e are proposing to add a </w:t>
      </w:r>
      <w:r w:rsidR="0049550D" w:rsidRPr="007146FC">
        <w:rPr>
          <w:color w:val="000000"/>
          <w:szCs w:val="22"/>
        </w:rPr>
        <w:t xml:space="preserve">new </w:t>
      </w:r>
      <w:r w:rsidRPr="007146FC">
        <w:rPr>
          <w:color w:val="000000"/>
          <w:szCs w:val="22"/>
        </w:rPr>
        <w:t xml:space="preserve">value to </w:t>
      </w:r>
      <w:proofErr w:type="spellStart"/>
      <w:r w:rsidR="0049550D" w:rsidRPr="007146FC">
        <w:rPr>
          <w:color w:val="000000"/>
          <w:szCs w:val="22"/>
        </w:rPr>
        <w:t>LastLiquidity</w:t>
      </w:r>
      <w:proofErr w:type="spellEnd"/>
      <w:r w:rsidR="0049550D" w:rsidRPr="007146FC">
        <w:rPr>
          <w:color w:val="000000"/>
          <w:szCs w:val="22"/>
        </w:rPr>
        <w:t xml:space="preserve">(851) to </w:t>
      </w:r>
      <w:r w:rsidRPr="007146FC">
        <w:rPr>
          <w:color w:val="000000"/>
          <w:szCs w:val="22"/>
        </w:rPr>
        <w:t>report that an order neither provided nor removed liquidity.</w:t>
      </w:r>
    </w:p>
    <w:p w14:paraId="4F19ACD5" w14:textId="0EC6DF0E" w:rsidR="005500C9" w:rsidRDefault="002F00D6" w:rsidP="007146FC">
      <w:pPr>
        <w:pStyle w:val="Heading2"/>
      </w:pPr>
      <w:bookmarkStart w:id="14" w:name="_Toc19023305"/>
      <w:r>
        <w:t>FIX Execution Venue</w:t>
      </w:r>
      <w:r w:rsidR="00CB6E03">
        <w:t xml:space="preserve"> Working Group</w:t>
      </w:r>
      <w:bookmarkEnd w:id="14"/>
    </w:p>
    <w:p w14:paraId="4711881B" w14:textId="57E7CBA3" w:rsidR="004A1E8C" w:rsidRPr="007146FC" w:rsidRDefault="00CB6E03" w:rsidP="00366313">
      <w:pPr>
        <w:spacing w:before="100" w:beforeAutospacing="1" w:after="100" w:afterAutospacing="1"/>
        <w:rPr>
          <w:color w:val="000000"/>
          <w:szCs w:val="22"/>
        </w:rPr>
      </w:pPr>
      <w:r w:rsidRPr="007146FC">
        <w:rPr>
          <w:color w:val="000000"/>
          <w:szCs w:val="22"/>
        </w:rPr>
        <w:t xml:space="preserve">In October 2014, Turquoise (part of LSE Group) launched the Turquoise </w:t>
      </w:r>
      <w:r w:rsidR="00E35CB9">
        <w:rPr>
          <w:color w:val="000000"/>
          <w:szCs w:val="22"/>
        </w:rPr>
        <w:t xml:space="preserve">Plato </w:t>
      </w:r>
      <w:r w:rsidRPr="007146FC">
        <w:rPr>
          <w:color w:val="000000"/>
          <w:szCs w:val="22"/>
        </w:rPr>
        <w:t xml:space="preserve">Block </w:t>
      </w:r>
      <w:proofErr w:type="spellStart"/>
      <w:r w:rsidRPr="007146FC">
        <w:rPr>
          <w:color w:val="000000"/>
          <w:szCs w:val="22"/>
        </w:rPr>
        <w:t>Discovery</w:t>
      </w:r>
      <w:r w:rsidRPr="007146FC">
        <w:rPr>
          <w:color w:val="000000"/>
          <w:szCs w:val="22"/>
          <w:vertAlign w:val="superscript"/>
        </w:rPr>
        <w:t>TM</w:t>
      </w:r>
      <w:proofErr w:type="spellEnd"/>
      <w:r w:rsidRPr="007146FC">
        <w:rPr>
          <w:color w:val="000000"/>
          <w:szCs w:val="22"/>
        </w:rPr>
        <w:t xml:space="preserve"> service. It offers additional distinctions to indicate liquidity beyond simply adding or removing it.</w:t>
      </w:r>
      <w:r w:rsidR="003E57DD" w:rsidRPr="007146FC">
        <w:rPr>
          <w:color w:val="000000"/>
          <w:szCs w:val="22"/>
        </w:rPr>
        <w:t xml:space="preserve"> The business requirements were submitted to the GTC and led to the Extension Pack 198 “Indicative Execution Extension” in early 2015 (see </w:t>
      </w:r>
      <w:hyperlink r:id="rId11" w:history="1">
        <w:r w:rsidR="003E57DD" w:rsidRPr="007146FC">
          <w:rPr>
            <w:rStyle w:val="Hyperlink"/>
            <w:szCs w:val="22"/>
          </w:rPr>
          <w:t>https://www.fixtrading.org/packages/ep198/</w:t>
        </w:r>
      </w:hyperlink>
      <w:r w:rsidR="003E57DD" w:rsidRPr="007146FC">
        <w:rPr>
          <w:color w:val="000000"/>
          <w:szCs w:val="22"/>
        </w:rPr>
        <w:t xml:space="preserve"> for details). The purpose was to identify </w:t>
      </w:r>
      <w:r w:rsidR="00C13585" w:rsidRPr="007146FC">
        <w:rPr>
          <w:color w:val="000000"/>
          <w:szCs w:val="22"/>
        </w:rPr>
        <w:t>the execution</w:t>
      </w:r>
      <w:r w:rsidR="003E57DD" w:rsidRPr="007146FC">
        <w:rPr>
          <w:color w:val="000000"/>
          <w:szCs w:val="22"/>
        </w:rPr>
        <w:t xml:space="preserve"> of </w:t>
      </w:r>
      <w:r w:rsidR="00C13585" w:rsidRPr="007146FC">
        <w:rPr>
          <w:color w:val="000000"/>
          <w:szCs w:val="22"/>
        </w:rPr>
        <w:t xml:space="preserve">an </w:t>
      </w:r>
      <w:r w:rsidR="003E57DD" w:rsidRPr="007146FC">
        <w:rPr>
          <w:color w:val="000000"/>
          <w:szCs w:val="22"/>
        </w:rPr>
        <w:t xml:space="preserve">order </w:t>
      </w:r>
      <w:r w:rsidR="00C13585" w:rsidRPr="007146FC">
        <w:rPr>
          <w:color w:val="000000"/>
          <w:szCs w:val="22"/>
        </w:rPr>
        <w:t>that</w:t>
      </w:r>
      <w:r w:rsidR="003E57DD" w:rsidRPr="007146FC">
        <w:rPr>
          <w:color w:val="000000"/>
          <w:szCs w:val="22"/>
        </w:rPr>
        <w:t xml:space="preserve"> had only been indicative and required a confirmation by the submitter to become executable, </w:t>
      </w:r>
      <w:r w:rsidR="00E35CB9">
        <w:rPr>
          <w:color w:val="000000"/>
          <w:szCs w:val="22"/>
        </w:rPr>
        <w:t xml:space="preserve">often with the same quantity, but also sometimes </w:t>
      </w:r>
      <w:r w:rsidR="003E57DD" w:rsidRPr="007146FC">
        <w:rPr>
          <w:color w:val="000000"/>
          <w:szCs w:val="22"/>
        </w:rPr>
        <w:t xml:space="preserve">with a </w:t>
      </w:r>
      <w:r w:rsidR="00E35CB9">
        <w:rPr>
          <w:color w:val="000000"/>
          <w:szCs w:val="22"/>
        </w:rPr>
        <w:t xml:space="preserve">greater or </w:t>
      </w:r>
      <w:r w:rsidR="00C13585" w:rsidRPr="007146FC">
        <w:rPr>
          <w:color w:val="000000"/>
          <w:szCs w:val="22"/>
        </w:rPr>
        <w:t>lower</w:t>
      </w:r>
      <w:r w:rsidR="003E57DD" w:rsidRPr="007146FC">
        <w:rPr>
          <w:color w:val="000000"/>
          <w:szCs w:val="22"/>
        </w:rPr>
        <w:t xml:space="preserve"> quantity.</w:t>
      </w:r>
      <w:r w:rsidR="008855A7" w:rsidRPr="007146FC">
        <w:rPr>
          <w:color w:val="000000"/>
          <w:szCs w:val="22"/>
        </w:rPr>
        <w:t xml:space="preserve"> </w:t>
      </w:r>
    </w:p>
    <w:p w14:paraId="28D6974A" w14:textId="594AAD73" w:rsidR="005500C9" w:rsidRPr="007146FC" w:rsidRDefault="008855A7" w:rsidP="00366313">
      <w:pPr>
        <w:spacing w:before="100" w:beforeAutospacing="1" w:after="100" w:afterAutospacing="1"/>
        <w:rPr>
          <w:color w:val="000000"/>
          <w:szCs w:val="22"/>
        </w:rPr>
      </w:pPr>
      <w:r w:rsidRPr="007146FC">
        <w:rPr>
          <w:color w:val="000000"/>
          <w:szCs w:val="22"/>
        </w:rPr>
        <w:t xml:space="preserve">The FIX field </w:t>
      </w:r>
      <w:proofErr w:type="spellStart"/>
      <w:r w:rsidRPr="007146FC">
        <w:rPr>
          <w:color w:val="000000"/>
          <w:szCs w:val="22"/>
        </w:rPr>
        <w:t>MatchType</w:t>
      </w:r>
      <w:proofErr w:type="spellEnd"/>
      <w:r w:rsidRPr="007146FC">
        <w:rPr>
          <w:color w:val="000000"/>
          <w:szCs w:val="22"/>
        </w:rPr>
        <w:t>(574) was extended with the values 10 and 11 for this purpose</w:t>
      </w:r>
      <w:r w:rsidR="004A1E8C" w:rsidRPr="007146FC">
        <w:rPr>
          <w:color w:val="000000"/>
          <w:szCs w:val="22"/>
        </w:rPr>
        <w:t>, representing two flavors of existing values</w:t>
      </w:r>
      <w:r w:rsidRPr="007146FC">
        <w:rPr>
          <w:color w:val="000000"/>
          <w:szCs w:val="22"/>
        </w:rPr>
        <w:t>.</w:t>
      </w:r>
      <w:r w:rsidR="004A1E8C" w:rsidRPr="007146FC">
        <w:rPr>
          <w:color w:val="000000"/>
          <w:szCs w:val="22"/>
        </w:rPr>
        <w:t xml:space="preserve"> The field offers different categories of execution. The term “last look” was used for the two new values to express the need for confirmation, a concept well-known for workflows related to fixed income.</w:t>
      </w:r>
    </w:p>
    <w:p w14:paraId="4A3BFFF8" w14:textId="77E1314A" w:rsidR="008855A7" w:rsidRPr="007146FC" w:rsidRDefault="00856721" w:rsidP="00366313">
      <w:pPr>
        <w:spacing w:before="100" w:beforeAutospacing="1" w:after="100" w:afterAutospacing="1"/>
        <w:rPr>
          <w:color w:val="000000"/>
          <w:szCs w:val="22"/>
        </w:rPr>
      </w:pPr>
      <w:r w:rsidRPr="007146FC">
        <w:rPr>
          <w:color w:val="000000"/>
          <w:szCs w:val="22"/>
        </w:rPr>
        <w:t>T</w:t>
      </w:r>
      <w:r w:rsidR="004A1E8C" w:rsidRPr="007146FC">
        <w:rPr>
          <w:color w:val="000000"/>
          <w:szCs w:val="22"/>
        </w:rPr>
        <w:t xml:space="preserve">he semantics of “last look” are about a confirmation of a match and not about the confirmation of an individual order to change from indicative to non-indicative aka tradeable (an attribute that FIX reserves for quotes). </w:t>
      </w:r>
      <w:r w:rsidR="008855A7" w:rsidRPr="007146FC">
        <w:rPr>
          <w:color w:val="000000"/>
          <w:szCs w:val="22"/>
        </w:rPr>
        <w:t xml:space="preserve">Turquoise had implemented their requirements with a non-standard extension of the FIX field </w:t>
      </w:r>
      <w:proofErr w:type="spellStart"/>
      <w:r w:rsidR="008855A7" w:rsidRPr="007146FC">
        <w:rPr>
          <w:color w:val="000000"/>
          <w:szCs w:val="22"/>
        </w:rPr>
        <w:t>LastLiquidity</w:t>
      </w:r>
      <w:proofErr w:type="spellEnd"/>
      <w:r w:rsidR="008855A7" w:rsidRPr="007146FC">
        <w:rPr>
          <w:color w:val="000000"/>
          <w:szCs w:val="22"/>
        </w:rPr>
        <w:t>(851)</w:t>
      </w:r>
      <w:r w:rsidR="004A1E8C" w:rsidRPr="007146FC">
        <w:rPr>
          <w:color w:val="000000"/>
          <w:szCs w:val="22"/>
        </w:rPr>
        <w:t xml:space="preserve"> and did not use </w:t>
      </w:r>
      <w:proofErr w:type="spellStart"/>
      <w:r w:rsidR="004A1E8C" w:rsidRPr="007146FC">
        <w:rPr>
          <w:color w:val="000000"/>
          <w:szCs w:val="22"/>
        </w:rPr>
        <w:t>MatchType</w:t>
      </w:r>
      <w:proofErr w:type="spellEnd"/>
      <w:r w:rsidR="004A1E8C" w:rsidRPr="007146FC">
        <w:rPr>
          <w:color w:val="000000"/>
          <w:szCs w:val="22"/>
        </w:rPr>
        <w:t>(574)</w:t>
      </w:r>
      <w:r w:rsidR="008855A7" w:rsidRPr="007146FC">
        <w:rPr>
          <w:color w:val="000000"/>
          <w:szCs w:val="22"/>
        </w:rPr>
        <w:t>. The working group</w:t>
      </w:r>
      <w:r w:rsidR="004A1E8C" w:rsidRPr="007146FC">
        <w:rPr>
          <w:color w:val="000000"/>
          <w:szCs w:val="22"/>
        </w:rPr>
        <w:t xml:space="preserve"> would like to propose a standard solution </w:t>
      </w:r>
      <w:r w:rsidRPr="007146FC">
        <w:rPr>
          <w:color w:val="000000"/>
          <w:szCs w:val="22"/>
        </w:rPr>
        <w:t xml:space="preserve">with a focus on liquidity (not on the execution) </w:t>
      </w:r>
      <w:r w:rsidR="004A1E8C" w:rsidRPr="007146FC">
        <w:rPr>
          <w:color w:val="000000"/>
          <w:szCs w:val="22"/>
        </w:rPr>
        <w:t xml:space="preserve">that </w:t>
      </w:r>
      <w:r w:rsidRPr="007146FC">
        <w:rPr>
          <w:color w:val="000000"/>
          <w:szCs w:val="22"/>
        </w:rPr>
        <w:t xml:space="preserve">also </w:t>
      </w:r>
      <w:proofErr w:type="spellStart"/>
      <w:r w:rsidR="004A1E8C" w:rsidRPr="007146FC">
        <w:rPr>
          <w:color w:val="000000"/>
          <w:szCs w:val="22"/>
        </w:rPr>
        <w:t>minimises</w:t>
      </w:r>
      <w:proofErr w:type="spellEnd"/>
      <w:r w:rsidR="004A1E8C" w:rsidRPr="007146FC">
        <w:rPr>
          <w:color w:val="000000"/>
          <w:szCs w:val="22"/>
        </w:rPr>
        <w:t xml:space="preserve"> the need for a change of existing implementations.</w:t>
      </w:r>
    </w:p>
    <w:p w14:paraId="682C733B" w14:textId="77777777" w:rsidR="00366313" w:rsidRPr="007146FC" w:rsidRDefault="00366313" w:rsidP="00366313">
      <w:pPr>
        <w:spacing w:before="100" w:beforeAutospacing="1" w:after="100" w:afterAutospacing="1"/>
        <w:rPr>
          <w:rFonts w:cstheme="minorHAnsi"/>
          <w:sz w:val="28"/>
          <w:szCs w:val="32"/>
        </w:rPr>
      </w:pPr>
    </w:p>
    <w:p w14:paraId="430F92BE" w14:textId="5BE29F6C" w:rsidR="00EB3995" w:rsidRDefault="00EB3995" w:rsidP="00E97DA5">
      <w:pPr>
        <w:pStyle w:val="Heading1"/>
      </w:pPr>
      <w:bookmarkStart w:id="15" w:name="_Toc19023306"/>
      <w:r>
        <w:t>Business Requirements</w:t>
      </w:r>
      <w:bookmarkEnd w:id="15"/>
    </w:p>
    <w:p w14:paraId="219CBF63" w14:textId="7DF82A3D" w:rsidR="00856721" w:rsidRDefault="00856721" w:rsidP="007146FC">
      <w:pPr>
        <w:pStyle w:val="Heading2"/>
      </w:pPr>
      <w:bookmarkStart w:id="16" w:name="_Toc19023307"/>
      <w:r>
        <w:t>Neutral Liquidity Indicator</w:t>
      </w:r>
      <w:bookmarkEnd w:id="16"/>
    </w:p>
    <w:p w14:paraId="0852127B" w14:textId="414F7DE0" w:rsidR="00366313" w:rsidRPr="007146FC" w:rsidRDefault="00366313" w:rsidP="00366313">
      <w:pPr>
        <w:spacing w:before="100" w:beforeAutospacing="1" w:after="100" w:afterAutospacing="1"/>
        <w:rPr>
          <w:bCs/>
          <w:color w:val="000000"/>
          <w:szCs w:val="22"/>
        </w:rPr>
      </w:pPr>
      <w:r w:rsidRPr="007146FC">
        <w:rPr>
          <w:bCs/>
          <w:color w:val="000000"/>
          <w:szCs w:val="22"/>
        </w:rPr>
        <w:t xml:space="preserve">This is the link to the SEC’s adopting release for the rule amendment: </w:t>
      </w:r>
      <w:hyperlink r:id="rId12" w:history="1">
        <w:r w:rsidRPr="007146FC">
          <w:rPr>
            <w:rStyle w:val="Hyperlink"/>
            <w:bCs/>
            <w:szCs w:val="22"/>
          </w:rPr>
          <w:t>https://www.sec.gov/rules/final/2018/34-84528.pdf</w:t>
        </w:r>
      </w:hyperlink>
      <w:r w:rsidRPr="007146FC">
        <w:rPr>
          <w:bCs/>
          <w:color w:val="000000"/>
          <w:szCs w:val="22"/>
        </w:rPr>
        <w:t>.</w:t>
      </w:r>
    </w:p>
    <w:p w14:paraId="4F9BBF57" w14:textId="085A154A" w:rsidR="00366313" w:rsidRPr="007146FC" w:rsidRDefault="00366313" w:rsidP="00366313">
      <w:pPr>
        <w:spacing w:before="100" w:beforeAutospacing="1" w:after="100" w:afterAutospacing="1"/>
        <w:rPr>
          <w:bCs/>
          <w:color w:val="000000"/>
          <w:szCs w:val="22"/>
        </w:rPr>
      </w:pPr>
      <w:r w:rsidRPr="007146FC">
        <w:rPr>
          <w:bCs/>
          <w:color w:val="000000"/>
          <w:szCs w:val="22"/>
        </w:rPr>
        <w:t>As set forth on pages 330-332 of the SEC’s adopting release, a broker-dealer must report “total shares executed</w:t>
      </w:r>
      <w:r w:rsidR="007E38E2" w:rsidRPr="007146FC">
        <w:rPr>
          <w:bCs/>
          <w:color w:val="000000"/>
          <w:szCs w:val="22"/>
        </w:rPr>
        <w:t>.</w:t>
      </w:r>
      <w:r w:rsidRPr="007146FC">
        <w:rPr>
          <w:bCs/>
          <w:color w:val="000000"/>
          <w:szCs w:val="22"/>
        </w:rPr>
        <w:t>” A broker-dealer also most report “total number of shares executed of orders providing liquidity” and “total number of shares executed of orders removing liquidity</w:t>
      </w:r>
      <w:r w:rsidR="007E38E2" w:rsidRPr="007146FC">
        <w:rPr>
          <w:bCs/>
          <w:color w:val="000000"/>
          <w:szCs w:val="22"/>
        </w:rPr>
        <w:t>.</w:t>
      </w:r>
      <w:r w:rsidRPr="007146FC">
        <w:rPr>
          <w:bCs/>
          <w:color w:val="000000"/>
          <w:szCs w:val="22"/>
        </w:rPr>
        <w:t>” The SEC staff have advised members of the Financial Information Forum that it is acceptable to classify an order as “neither providing nor removing liquidity</w:t>
      </w:r>
      <w:r w:rsidR="007E38E2" w:rsidRPr="007146FC">
        <w:rPr>
          <w:bCs/>
          <w:color w:val="000000"/>
          <w:szCs w:val="22"/>
        </w:rPr>
        <w:t>.</w:t>
      </w:r>
      <w:r w:rsidRPr="007146FC">
        <w:rPr>
          <w:bCs/>
          <w:color w:val="000000"/>
          <w:szCs w:val="22"/>
        </w:rPr>
        <w:t>” In this scenario, the execution must be included under “total shares executed” but not under either of the other two categories.</w:t>
      </w:r>
    </w:p>
    <w:p w14:paraId="25085176" w14:textId="77777777" w:rsidR="00366313" w:rsidRPr="007146FC" w:rsidRDefault="00366313" w:rsidP="00366313">
      <w:pPr>
        <w:spacing w:before="100" w:beforeAutospacing="1" w:after="100" w:afterAutospacing="1"/>
        <w:rPr>
          <w:bCs/>
          <w:color w:val="000000"/>
          <w:szCs w:val="22"/>
        </w:rPr>
      </w:pPr>
      <w:r w:rsidRPr="007146FC">
        <w:rPr>
          <w:bCs/>
          <w:color w:val="000000"/>
          <w:szCs w:val="22"/>
        </w:rPr>
        <w:t xml:space="preserve">The SEC has issued a Technical Specifications document that includes this reporting obligation:  </w:t>
      </w:r>
      <w:hyperlink r:id="rId13" w:history="1">
        <w:r w:rsidRPr="007146FC">
          <w:rPr>
            <w:rStyle w:val="Hyperlink"/>
            <w:bCs/>
            <w:szCs w:val="22"/>
          </w:rPr>
          <w:t>https://www.sec.gov/files/Order_Handling_Data_Technical_Specification_20190331.pdf</w:t>
        </w:r>
      </w:hyperlink>
      <w:r w:rsidRPr="007146FC">
        <w:rPr>
          <w:bCs/>
          <w:color w:val="000000"/>
          <w:szCs w:val="22"/>
        </w:rPr>
        <w:t xml:space="preserve">. In particular, please refer to pages 10-12. </w:t>
      </w:r>
    </w:p>
    <w:p w14:paraId="4B29E213" w14:textId="77777777" w:rsidR="00366313" w:rsidRPr="007146FC" w:rsidRDefault="00366313" w:rsidP="00366313">
      <w:pPr>
        <w:spacing w:before="100" w:beforeAutospacing="1" w:after="100" w:afterAutospacing="1"/>
        <w:rPr>
          <w:bCs/>
          <w:color w:val="000000"/>
          <w:szCs w:val="22"/>
        </w:rPr>
      </w:pPr>
      <w:r w:rsidRPr="007146FC">
        <w:rPr>
          <w:bCs/>
          <w:color w:val="000000"/>
          <w:szCs w:val="22"/>
        </w:rPr>
        <w:t xml:space="preserve">The SEC staff have advised members of the Financial Information Forum that it is acceptable to classify orders as neither providing nor removing liquidity. For example, for an alternative trading system (ATS) that provides functionality where participants can negotiate trades directly with each other on a one-to-one basis, the SEC staff have advised that it would be acceptable to classify the negotiation orders as neither providing nor removing liquidity. </w:t>
      </w:r>
    </w:p>
    <w:p w14:paraId="20D2D450" w14:textId="34794EFC" w:rsidR="00366313" w:rsidRPr="007146FC" w:rsidRDefault="00366313" w:rsidP="00366313">
      <w:pPr>
        <w:spacing w:before="100" w:beforeAutospacing="1" w:after="100" w:afterAutospacing="1"/>
        <w:rPr>
          <w:bCs/>
          <w:color w:val="000000"/>
          <w:szCs w:val="22"/>
        </w:rPr>
      </w:pPr>
      <w:r w:rsidRPr="007146FC">
        <w:rPr>
          <w:bCs/>
          <w:color w:val="000000"/>
          <w:szCs w:val="22"/>
        </w:rPr>
        <w:t xml:space="preserve">Accordingly, it would be desirable to provide a means whereby an execution venue could report to a routing broker for each execution whether the order provided liquidity, removed liquidity, or neither provided nor removed liquidity. </w:t>
      </w:r>
    </w:p>
    <w:p w14:paraId="081A4719" w14:textId="2081F95D" w:rsidR="00A86912" w:rsidRPr="007146FC" w:rsidRDefault="00A86912" w:rsidP="00A86912">
      <w:pPr>
        <w:rPr>
          <w:szCs w:val="22"/>
        </w:rPr>
      </w:pPr>
      <w:r w:rsidRPr="00F6575C">
        <w:rPr>
          <w:szCs w:val="22"/>
        </w:rPr>
        <w:t xml:space="preserve">There are </w:t>
      </w:r>
      <w:r w:rsidR="007E38E2" w:rsidRPr="00F6575C">
        <w:rPr>
          <w:szCs w:val="22"/>
        </w:rPr>
        <w:t xml:space="preserve">several </w:t>
      </w:r>
      <w:r w:rsidRPr="00F6575C">
        <w:rPr>
          <w:szCs w:val="22"/>
        </w:rPr>
        <w:t>FIX fields t</w:t>
      </w:r>
      <w:r w:rsidR="007E38E2" w:rsidRPr="00F6575C">
        <w:rPr>
          <w:szCs w:val="22"/>
        </w:rPr>
        <w:t>hat</w:t>
      </w:r>
      <w:r w:rsidRPr="00F6575C">
        <w:rPr>
          <w:szCs w:val="22"/>
        </w:rPr>
        <w:t xml:space="preserve"> indicate liquidity. </w:t>
      </w:r>
      <w:r w:rsidR="007E38E2" w:rsidRPr="00F6575C">
        <w:rPr>
          <w:szCs w:val="22"/>
        </w:rPr>
        <w:t xml:space="preserve">All applicable FIX fields </w:t>
      </w:r>
      <w:r w:rsidRPr="00F6575C">
        <w:rPr>
          <w:szCs w:val="22"/>
        </w:rPr>
        <w:t xml:space="preserve">use the valid values defined for the FIX field </w:t>
      </w:r>
      <w:proofErr w:type="spellStart"/>
      <w:r w:rsidRPr="00F6575C">
        <w:rPr>
          <w:szCs w:val="22"/>
        </w:rPr>
        <w:t>LastLiquidityInd</w:t>
      </w:r>
      <w:proofErr w:type="spellEnd"/>
      <w:r w:rsidRPr="00F6575C">
        <w:rPr>
          <w:szCs w:val="22"/>
        </w:rPr>
        <w:t xml:space="preserve">(851). There are currently two generic values 1 = Added Liquidity and 2 = Removed Liquidity and a number of values for specific use cases, e.g. 3 = Liquidity Routed Out and 4 = Auction. The </w:t>
      </w:r>
      <w:r w:rsidR="00B7262E" w:rsidRPr="00F6575C">
        <w:rPr>
          <w:szCs w:val="22"/>
        </w:rPr>
        <w:t>existing values “3” and “4”</w:t>
      </w:r>
      <w:r w:rsidRPr="00E35CB9">
        <w:rPr>
          <w:szCs w:val="22"/>
        </w:rPr>
        <w:t xml:space="preserve"> refer to </w:t>
      </w:r>
      <w:r w:rsidR="00B7262E" w:rsidRPr="00E35CB9">
        <w:rPr>
          <w:szCs w:val="22"/>
        </w:rPr>
        <w:t xml:space="preserve">specific </w:t>
      </w:r>
      <w:r w:rsidRPr="00E35CB9">
        <w:rPr>
          <w:szCs w:val="22"/>
        </w:rPr>
        <w:t xml:space="preserve">situations where liquidity is neither added nor removed. A generic value </w:t>
      </w:r>
      <w:r w:rsidR="00B7262E" w:rsidRPr="007146FC">
        <w:rPr>
          <w:szCs w:val="22"/>
        </w:rPr>
        <w:t xml:space="preserve">does not exist </w:t>
      </w:r>
      <w:r w:rsidRPr="007146FC">
        <w:rPr>
          <w:szCs w:val="22"/>
        </w:rPr>
        <w:t xml:space="preserve">for the </w:t>
      </w:r>
      <w:r w:rsidR="00B7262E" w:rsidRPr="007146FC">
        <w:rPr>
          <w:szCs w:val="22"/>
        </w:rPr>
        <w:t xml:space="preserve">required </w:t>
      </w:r>
      <w:r w:rsidRPr="007146FC">
        <w:rPr>
          <w:szCs w:val="22"/>
        </w:rPr>
        <w:t>use case</w:t>
      </w:r>
      <w:r w:rsidR="00B7262E" w:rsidRPr="007146FC">
        <w:rPr>
          <w:szCs w:val="22"/>
        </w:rPr>
        <w:t xml:space="preserve"> without an implied reason why liquidity was neither added nor removed</w:t>
      </w:r>
      <w:r w:rsidRPr="007146FC">
        <w:rPr>
          <w:szCs w:val="22"/>
        </w:rPr>
        <w:t>. We propose to add one as follows:</w:t>
      </w:r>
    </w:p>
    <w:p w14:paraId="1AE1A98C" w14:textId="5E320DDD" w:rsidR="00A86912" w:rsidRPr="007146FC" w:rsidRDefault="00A86912" w:rsidP="00A86912">
      <w:pPr>
        <w:rPr>
          <w:szCs w:val="22"/>
        </w:rPr>
      </w:pPr>
    </w:p>
    <w:p w14:paraId="133CFE4F" w14:textId="287F16DF" w:rsidR="00A86912" w:rsidRPr="007146FC" w:rsidRDefault="00A86912" w:rsidP="00A86912">
      <w:pPr>
        <w:jc w:val="center"/>
        <w:rPr>
          <w:szCs w:val="22"/>
        </w:rPr>
      </w:pPr>
      <w:r w:rsidRPr="007146FC">
        <w:rPr>
          <w:szCs w:val="22"/>
          <w:highlight w:val="yellow"/>
        </w:rPr>
        <w:t>TBD</w:t>
      </w:r>
      <w:r w:rsidR="003D242B" w:rsidRPr="00F6575C">
        <w:rPr>
          <w:rStyle w:val="FootnoteReference"/>
          <w:szCs w:val="22"/>
        </w:rPr>
        <w:footnoteReference w:id="1"/>
      </w:r>
      <w:r w:rsidRPr="00F6575C">
        <w:rPr>
          <w:szCs w:val="22"/>
        </w:rPr>
        <w:t xml:space="preserve"> = </w:t>
      </w:r>
      <w:r w:rsidRPr="007146FC">
        <w:rPr>
          <w:szCs w:val="22"/>
        </w:rPr>
        <w:t xml:space="preserve">Neither Added </w:t>
      </w:r>
      <w:r w:rsidR="00E826E7" w:rsidRPr="007146FC">
        <w:rPr>
          <w:szCs w:val="22"/>
        </w:rPr>
        <w:t>n</w:t>
      </w:r>
      <w:r w:rsidRPr="007146FC">
        <w:rPr>
          <w:szCs w:val="22"/>
        </w:rPr>
        <w:t>or Removed Liquidity (and no other values apply).</w:t>
      </w:r>
    </w:p>
    <w:p w14:paraId="25F4CA7B" w14:textId="77777777" w:rsidR="00A86912" w:rsidRPr="007146FC" w:rsidRDefault="00A86912" w:rsidP="00A86912">
      <w:pPr>
        <w:rPr>
          <w:szCs w:val="22"/>
        </w:rPr>
      </w:pPr>
    </w:p>
    <w:p w14:paraId="3B08A9D9" w14:textId="1B9FD9B4" w:rsidR="00A86912" w:rsidRPr="007146FC" w:rsidRDefault="00A86912" w:rsidP="00A86912">
      <w:pPr>
        <w:rPr>
          <w:szCs w:val="22"/>
        </w:rPr>
      </w:pPr>
      <w:r w:rsidRPr="007146FC">
        <w:rPr>
          <w:szCs w:val="22"/>
        </w:rPr>
        <w:t xml:space="preserve">The reason for specifying that “no other values apply” is to address a scenario such as an auction order where the order neither provides nor removes liquidity. In this scenario, participants </w:t>
      </w:r>
      <w:r w:rsidR="005D49F9" w:rsidRPr="007146FC">
        <w:rPr>
          <w:szCs w:val="22"/>
        </w:rPr>
        <w:t>must</w:t>
      </w:r>
      <w:r w:rsidRPr="007146FC">
        <w:rPr>
          <w:szCs w:val="22"/>
        </w:rPr>
        <w:t xml:space="preserve"> report the specific value </w:t>
      </w:r>
      <w:r w:rsidR="005D49F9" w:rsidRPr="007146FC">
        <w:rPr>
          <w:szCs w:val="22"/>
        </w:rPr>
        <w:t xml:space="preserve">“4” </w:t>
      </w:r>
      <w:r w:rsidRPr="007146FC">
        <w:rPr>
          <w:szCs w:val="22"/>
        </w:rPr>
        <w:t>for an auction</w:t>
      </w:r>
      <w:r w:rsidR="005D49F9" w:rsidRPr="007146FC">
        <w:rPr>
          <w:szCs w:val="22"/>
        </w:rPr>
        <w:t xml:space="preserve"> unless the recipient (e.g</w:t>
      </w:r>
      <w:r w:rsidR="007310E9" w:rsidRPr="006D13FA">
        <w:rPr>
          <w:szCs w:val="22"/>
        </w:rPr>
        <w:t>.</w:t>
      </w:r>
      <w:r w:rsidR="005D49F9" w:rsidRPr="007146FC">
        <w:rPr>
          <w:szCs w:val="22"/>
        </w:rPr>
        <w:t xml:space="preserve"> a regulator) does not permit specific values and wants the generic value to be used instead</w:t>
      </w:r>
      <w:r w:rsidRPr="007146FC">
        <w:rPr>
          <w:szCs w:val="22"/>
        </w:rPr>
        <w:t>.</w:t>
      </w:r>
    </w:p>
    <w:p w14:paraId="5668C984" w14:textId="77777777" w:rsidR="00A86912" w:rsidRPr="007146FC" w:rsidRDefault="00A86912" w:rsidP="00A86912">
      <w:pPr>
        <w:rPr>
          <w:szCs w:val="22"/>
        </w:rPr>
      </w:pPr>
    </w:p>
    <w:p w14:paraId="414AC55B" w14:textId="64723B91" w:rsidR="00A86912" w:rsidRPr="00F6575C" w:rsidRDefault="00A86912" w:rsidP="00A86912">
      <w:pPr>
        <w:rPr>
          <w:szCs w:val="22"/>
        </w:rPr>
      </w:pPr>
      <w:r w:rsidRPr="007146FC">
        <w:rPr>
          <w:szCs w:val="22"/>
        </w:rPr>
        <w:t xml:space="preserve">While this SEC rule refers to “providing liquidity”, we consider this to be the equivalent to “adding liquidity”, as used in </w:t>
      </w:r>
      <w:r w:rsidR="00E826E7" w:rsidRPr="007146FC">
        <w:rPr>
          <w:szCs w:val="22"/>
        </w:rPr>
        <w:t xml:space="preserve">the </w:t>
      </w:r>
      <w:r w:rsidRPr="007146FC">
        <w:rPr>
          <w:szCs w:val="22"/>
        </w:rPr>
        <w:t xml:space="preserve">FIX </w:t>
      </w:r>
      <w:r w:rsidR="00E826E7" w:rsidRPr="007146FC">
        <w:rPr>
          <w:szCs w:val="22"/>
        </w:rPr>
        <w:t xml:space="preserve">field </w:t>
      </w:r>
      <w:proofErr w:type="spellStart"/>
      <w:r w:rsidR="00E826E7" w:rsidRPr="007146FC">
        <w:rPr>
          <w:szCs w:val="22"/>
        </w:rPr>
        <w:t>LastLiquidity</w:t>
      </w:r>
      <w:r w:rsidR="005D49F9" w:rsidRPr="007146FC">
        <w:rPr>
          <w:szCs w:val="22"/>
        </w:rPr>
        <w:t>Ind</w:t>
      </w:r>
      <w:proofErr w:type="spellEnd"/>
      <w:r w:rsidR="00E826E7" w:rsidRPr="007146FC">
        <w:rPr>
          <w:szCs w:val="22"/>
        </w:rPr>
        <w:t>(</w:t>
      </w:r>
      <w:r w:rsidRPr="007146FC">
        <w:rPr>
          <w:szCs w:val="22"/>
        </w:rPr>
        <w:t>851</w:t>
      </w:r>
      <w:r w:rsidR="00E826E7" w:rsidRPr="007146FC">
        <w:rPr>
          <w:szCs w:val="22"/>
        </w:rPr>
        <w:t>)</w:t>
      </w:r>
      <w:r w:rsidRPr="007146FC">
        <w:rPr>
          <w:szCs w:val="22"/>
        </w:rPr>
        <w:t>.</w:t>
      </w:r>
    </w:p>
    <w:p w14:paraId="2A43E45A" w14:textId="77777777" w:rsidR="007310E9" w:rsidRDefault="007310E9" w:rsidP="007310E9">
      <w:pPr>
        <w:pStyle w:val="Heading2"/>
      </w:pPr>
      <w:bookmarkStart w:id="17" w:name="_Toc19023308"/>
      <w:r>
        <w:t>Liquidity from Orders Requiring a Confirmation</w:t>
      </w:r>
      <w:bookmarkEnd w:id="17"/>
    </w:p>
    <w:p w14:paraId="099C23DF" w14:textId="708A8EB0" w:rsidR="007310E9" w:rsidRPr="007146FC" w:rsidRDefault="007310E9" w:rsidP="007310E9">
      <w:pPr>
        <w:spacing w:before="100" w:beforeAutospacing="1" w:after="100" w:afterAutospacing="1"/>
        <w:rPr>
          <w:bCs/>
          <w:color w:val="000000"/>
          <w:szCs w:val="22"/>
        </w:rPr>
      </w:pPr>
      <w:r w:rsidRPr="007146FC">
        <w:rPr>
          <w:bCs/>
          <w:color w:val="000000"/>
          <w:szCs w:val="22"/>
        </w:rPr>
        <w:t xml:space="preserve">Orders requiring a confirmation are used as part of the regular matching process. However, they are conditional in the sense that they cannot be matched immediately. A potential match triggers a request to the order submitter to confirm the order, whereby he can also change or remove it. The confirmation means that the order now becomes a “normal” order and no longer requires a confirmation. From then on, it participates in the matching process just like any other order. In the case of the </w:t>
      </w:r>
      <w:r w:rsidRPr="007146FC">
        <w:rPr>
          <w:color w:val="000000"/>
          <w:szCs w:val="22"/>
        </w:rPr>
        <w:t xml:space="preserve">Turquoise </w:t>
      </w:r>
      <w:r w:rsidR="00E35CB9">
        <w:rPr>
          <w:color w:val="000000"/>
          <w:szCs w:val="22"/>
        </w:rPr>
        <w:t xml:space="preserve">Plato </w:t>
      </w:r>
      <w:r w:rsidRPr="007146FC">
        <w:rPr>
          <w:color w:val="000000"/>
          <w:szCs w:val="22"/>
        </w:rPr>
        <w:t xml:space="preserve">Block </w:t>
      </w:r>
      <w:proofErr w:type="spellStart"/>
      <w:r w:rsidRPr="007146FC">
        <w:rPr>
          <w:color w:val="000000"/>
          <w:szCs w:val="22"/>
        </w:rPr>
        <w:t>Discovery</w:t>
      </w:r>
      <w:r w:rsidRPr="007146FC">
        <w:rPr>
          <w:color w:val="000000"/>
          <w:szCs w:val="22"/>
          <w:vertAlign w:val="superscript"/>
        </w:rPr>
        <w:t>TM</w:t>
      </w:r>
      <w:proofErr w:type="spellEnd"/>
      <w:r w:rsidRPr="007146FC">
        <w:rPr>
          <w:color w:val="000000"/>
          <w:szCs w:val="22"/>
        </w:rPr>
        <w:t xml:space="preserve"> service</w:t>
      </w:r>
      <w:r w:rsidRPr="007146FC">
        <w:rPr>
          <w:bCs/>
          <w:color w:val="000000"/>
          <w:szCs w:val="22"/>
        </w:rPr>
        <w:t xml:space="preserve"> this means that the order may or may not execute against the order that established a potential match and triggered the request for confirmation.</w:t>
      </w:r>
    </w:p>
    <w:p w14:paraId="4618C6F4" w14:textId="77777777" w:rsidR="007310E9" w:rsidRPr="007146FC" w:rsidRDefault="007310E9" w:rsidP="007310E9">
      <w:pPr>
        <w:spacing w:before="100" w:beforeAutospacing="1" w:after="100" w:afterAutospacing="1"/>
        <w:rPr>
          <w:bCs/>
          <w:color w:val="000000"/>
          <w:szCs w:val="22"/>
        </w:rPr>
      </w:pPr>
      <w:r w:rsidRPr="007146FC">
        <w:rPr>
          <w:bCs/>
          <w:color w:val="000000"/>
          <w:szCs w:val="22"/>
        </w:rPr>
        <w:t xml:space="preserve">A potential match can occur during an auction or during continuous trading. The requirement is to distinguish the two use cases. </w:t>
      </w:r>
    </w:p>
    <w:p w14:paraId="3F95472C" w14:textId="1E9445D2" w:rsidR="007310E9" w:rsidRPr="007146FC" w:rsidRDefault="007310E9" w:rsidP="007310E9">
      <w:pPr>
        <w:pStyle w:val="ListParagraph"/>
        <w:numPr>
          <w:ilvl w:val="0"/>
          <w:numId w:val="10"/>
        </w:numPr>
        <w:spacing w:before="100" w:beforeAutospacing="1" w:after="100" w:afterAutospacing="1"/>
        <w:rPr>
          <w:bCs/>
          <w:color w:val="000000"/>
          <w:szCs w:val="22"/>
        </w:rPr>
      </w:pPr>
      <w:r w:rsidRPr="007146FC">
        <w:rPr>
          <w:bCs/>
          <w:color w:val="000000"/>
          <w:szCs w:val="22"/>
        </w:rPr>
        <w:t xml:space="preserve">An </w:t>
      </w:r>
      <w:r w:rsidR="00F6575C">
        <w:rPr>
          <w:bCs/>
          <w:color w:val="000000"/>
          <w:szCs w:val="22"/>
        </w:rPr>
        <w:t xml:space="preserve">aggressive </w:t>
      </w:r>
      <w:r w:rsidRPr="007146FC">
        <w:rPr>
          <w:bCs/>
          <w:color w:val="000000"/>
          <w:szCs w:val="22"/>
        </w:rPr>
        <w:t xml:space="preserve">order requiring confirmation during continuous trading is </w:t>
      </w:r>
      <w:proofErr w:type="gramStart"/>
      <w:r w:rsidRPr="007146FC">
        <w:rPr>
          <w:bCs/>
          <w:color w:val="000000"/>
          <w:szCs w:val="22"/>
        </w:rPr>
        <w:t>similar to</w:t>
      </w:r>
      <w:proofErr w:type="gramEnd"/>
      <w:r w:rsidRPr="007146FC">
        <w:rPr>
          <w:bCs/>
          <w:color w:val="000000"/>
          <w:szCs w:val="22"/>
        </w:rPr>
        <w:t xml:space="preserve"> an IOC order removing liquidity which is covered by </w:t>
      </w:r>
      <w:proofErr w:type="spellStart"/>
      <w:r w:rsidRPr="007146FC">
        <w:rPr>
          <w:color w:val="000000"/>
          <w:szCs w:val="22"/>
        </w:rPr>
        <w:t>LastLiquidity</w:t>
      </w:r>
      <w:proofErr w:type="spellEnd"/>
      <w:r w:rsidRPr="007146FC">
        <w:rPr>
          <w:color w:val="000000"/>
          <w:szCs w:val="22"/>
        </w:rPr>
        <w:t xml:space="preserve">(851) = 2 (Removed liquidity). Turquoise Block </w:t>
      </w:r>
      <w:proofErr w:type="spellStart"/>
      <w:r w:rsidRPr="007146FC">
        <w:rPr>
          <w:color w:val="000000"/>
          <w:szCs w:val="22"/>
        </w:rPr>
        <w:t>Discovery</w:t>
      </w:r>
      <w:r w:rsidRPr="007146FC">
        <w:rPr>
          <w:color w:val="000000"/>
          <w:szCs w:val="22"/>
          <w:vertAlign w:val="superscript"/>
        </w:rPr>
        <w:t>TM</w:t>
      </w:r>
      <w:proofErr w:type="spellEnd"/>
      <w:r w:rsidRPr="007146FC">
        <w:rPr>
          <w:color w:val="000000"/>
          <w:szCs w:val="22"/>
        </w:rPr>
        <w:t xml:space="preserve"> does not have a use case where </w:t>
      </w:r>
      <w:r w:rsidRPr="007146FC">
        <w:rPr>
          <w:bCs/>
          <w:color w:val="000000"/>
          <w:szCs w:val="22"/>
        </w:rPr>
        <w:t>an order requiring confirmation</w:t>
      </w:r>
      <w:r w:rsidRPr="007146FC">
        <w:rPr>
          <w:color w:val="000000"/>
          <w:szCs w:val="22"/>
        </w:rPr>
        <w:t xml:space="preserve"> rests on the book after having been confirmed. A new value is proposed as follows:</w:t>
      </w:r>
      <w:r w:rsidRPr="007146FC">
        <w:rPr>
          <w:color w:val="000000"/>
          <w:szCs w:val="22"/>
        </w:rPr>
        <w:br/>
      </w:r>
      <w:r w:rsidRPr="007146FC">
        <w:rPr>
          <w:color w:val="000000"/>
          <w:szCs w:val="22"/>
        </w:rPr>
        <w:br/>
      </w:r>
      <w:r w:rsidRPr="007146FC">
        <w:rPr>
          <w:color w:val="000000"/>
          <w:szCs w:val="22"/>
          <w:highlight w:val="yellow"/>
        </w:rPr>
        <w:t>TBD</w:t>
      </w:r>
      <w:r w:rsidRPr="007146FC">
        <w:rPr>
          <w:rStyle w:val="FootnoteReference"/>
          <w:color w:val="000000"/>
          <w:szCs w:val="22"/>
        </w:rPr>
        <w:footnoteReference w:id="2"/>
      </w:r>
      <w:r w:rsidRPr="007146FC">
        <w:rPr>
          <w:color w:val="000000"/>
          <w:szCs w:val="22"/>
        </w:rPr>
        <w:t xml:space="preserve"> = </w:t>
      </w:r>
      <w:r w:rsidR="006D13FA" w:rsidRPr="007146FC">
        <w:rPr>
          <w:color w:val="000000"/>
          <w:szCs w:val="22"/>
        </w:rPr>
        <w:t>Removed liquidity after</w:t>
      </w:r>
      <w:r w:rsidRPr="007146FC">
        <w:rPr>
          <w:color w:val="000000"/>
          <w:szCs w:val="22"/>
        </w:rPr>
        <w:t xml:space="preserve"> </w:t>
      </w:r>
      <w:r w:rsidR="00A56823">
        <w:rPr>
          <w:color w:val="000000"/>
          <w:szCs w:val="22"/>
        </w:rPr>
        <w:t>firm order commitment</w:t>
      </w:r>
      <w:r w:rsidRPr="007146FC">
        <w:rPr>
          <w:color w:val="000000"/>
          <w:szCs w:val="22"/>
        </w:rPr>
        <w:br/>
      </w:r>
    </w:p>
    <w:p w14:paraId="5CD8363A" w14:textId="019BE735" w:rsidR="007310E9" w:rsidRPr="007146FC" w:rsidRDefault="007310E9" w:rsidP="007310E9">
      <w:pPr>
        <w:pStyle w:val="ListParagraph"/>
        <w:numPr>
          <w:ilvl w:val="0"/>
          <w:numId w:val="10"/>
        </w:numPr>
        <w:spacing w:before="100" w:beforeAutospacing="1" w:after="100" w:afterAutospacing="1"/>
        <w:rPr>
          <w:bCs/>
          <w:color w:val="000000"/>
          <w:szCs w:val="22"/>
        </w:rPr>
      </w:pPr>
      <w:r w:rsidRPr="007146FC">
        <w:rPr>
          <w:bCs/>
          <w:color w:val="000000"/>
          <w:szCs w:val="22"/>
        </w:rPr>
        <w:t xml:space="preserve">An auction order requiring confirmation is </w:t>
      </w:r>
      <w:proofErr w:type="gramStart"/>
      <w:r w:rsidRPr="007146FC">
        <w:rPr>
          <w:bCs/>
          <w:color w:val="000000"/>
          <w:szCs w:val="22"/>
        </w:rPr>
        <w:t>similar to</w:t>
      </w:r>
      <w:proofErr w:type="gramEnd"/>
      <w:r w:rsidRPr="007146FC">
        <w:rPr>
          <w:bCs/>
          <w:color w:val="000000"/>
          <w:szCs w:val="22"/>
        </w:rPr>
        <w:t xml:space="preserve"> a normal auction order which is covered by </w:t>
      </w:r>
      <w:proofErr w:type="spellStart"/>
      <w:r w:rsidRPr="007146FC">
        <w:rPr>
          <w:color w:val="000000"/>
          <w:szCs w:val="22"/>
        </w:rPr>
        <w:t>LastLiquidity</w:t>
      </w:r>
      <w:proofErr w:type="spellEnd"/>
      <w:r w:rsidRPr="007146FC">
        <w:rPr>
          <w:color w:val="000000"/>
          <w:szCs w:val="22"/>
        </w:rPr>
        <w:t>(851) = 4 (Auction). A new value is proposed as follows:</w:t>
      </w:r>
      <w:r w:rsidRPr="007146FC">
        <w:rPr>
          <w:color w:val="000000"/>
          <w:szCs w:val="22"/>
        </w:rPr>
        <w:br/>
      </w:r>
      <w:r w:rsidRPr="007146FC">
        <w:rPr>
          <w:color w:val="000000"/>
          <w:szCs w:val="22"/>
        </w:rPr>
        <w:br/>
      </w:r>
      <w:r w:rsidRPr="007146FC">
        <w:rPr>
          <w:color w:val="000000"/>
          <w:szCs w:val="22"/>
          <w:highlight w:val="yellow"/>
        </w:rPr>
        <w:t>TBD</w:t>
      </w:r>
      <w:r w:rsidRPr="007146FC">
        <w:rPr>
          <w:rStyle w:val="FootnoteReference"/>
          <w:color w:val="000000"/>
          <w:szCs w:val="22"/>
        </w:rPr>
        <w:footnoteReference w:id="3"/>
      </w:r>
      <w:r w:rsidRPr="007146FC">
        <w:rPr>
          <w:color w:val="000000"/>
          <w:szCs w:val="22"/>
        </w:rPr>
        <w:t xml:space="preserve"> = Auction </w:t>
      </w:r>
      <w:r w:rsidR="00865658">
        <w:rPr>
          <w:color w:val="000000"/>
          <w:szCs w:val="22"/>
        </w:rPr>
        <w:t>execution</w:t>
      </w:r>
      <w:r w:rsidR="00865658" w:rsidRPr="007146FC">
        <w:rPr>
          <w:color w:val="000000"/>
          <w:szCs w:val="22"/>
        </w:rPr>
        <w:t xml:space="preserve"> </w:t>
      </w:r>
      <w:r w:rsidR="00E35CB9">
        <w:rPr>
          <w:color w:val="000000"/>
          <w:szCs w:val="22"/>
        </w:rPr>
        <w:t>after</w:t>
      </w:r>
      <w:r w:rsidRPr="007146FC">
        <w:rPr>
          <w:color w:val="000000"/>
          <w:szCs w:val="22"/>
        </w:rPr>
        <w:t xml:space="preserve"> </w:t>
      </w:r>
      <w:r w:rsidR="00A56823">
        <w:rPr>
          <w:color w:val="000000"/>
          <w:szCs w:val="22"/>
        </w:rPr>
        <w:t>firm order commitment</w:t>
      </w:r>
    </w:p>
    <w:p w14:paraId="255E3483" w14:textId="327314DF" w:rsidR="00313EC3" w:rsidRPr="007146FC" w:rsidRDefault="006D13FA" w:rsidP="00672B35">
      <w:pPr>
        <w:pStyle w:val="BodyText"/>
        <w:rPr>
          <w:szCs w:val="22"/>
        </w:rPr>
      </w:pPr>
      <w:r w:rsidRPr="00F6575C">
        <w:rPr>
          <w:szCs w:val="22"/>
        </w:rPr>
        <w:t>The</w:t>
      </w:r>
      <w:r w:rsidRPr="007146FC">
        <w:rPr>
          <w:szCs w:val="22"/>
        </w:rPr>
        <w:t xml:space="preserve"> references to existing values were made to show a mapping to more generic values typically required by regulators.</w:t>
      </w:r>
    </w:p>
    <w:p w14:paraId="57743841" w14:textId="77777777" w:rsidR="006D13FA" w:rsidRPr="007146FC" w:rsidRDefault="006D13FA" w:rsidP="00672B35">
      <w:pPr>
        <w:pStyle w:val="BodyText"/>
        <w:rPr>
          <w:sz w:val="20"/>
          <w:szCs w:val="20"/>
        </w:rPr>
      </w:pPr>
    </w:p>
    <w:p w14:paraId="016B2EA0" w14:textId="45FE851A" w:rsidR="006F4606" w:rsidRPr="00A10223" w:rsidRDefault="002E7FCD" w:rsidP="00313EC3">
      <w:pPr>
        <w:pStyle w:val="Heading1"/>
      </w:pPr>
      <w:bookmarkStart w:id="18" w:name="_Toc19023309"/>
      <w:r>
        <w:t xml:space="preserve">Issues and Discussion </w:t>
      </w:r>
      <w:r w:rsidR="00366313">
        <w:t>Points</w:t>
      </w:r>
      <w:bookmarkEnd w:id="18"/>
    </w:p>
    <w:p w14:paraId="2ECF6CDB" w14:textId="50450412" w:rsidR="00A10223" w:rsidRPr="003704FE" w:rsidRDefault="00366313" w:rsidP="003704FE">
      <w:pPr>
        <w:pBdr>
          <w:top w:val="double" w:sz="4" w:space="1" w:color="008000"/>
          <w:left w:val="double" w:sz="4" w:space="4" w:color="008000"/>
          <w:bottom w:val="double" w:sz="4" w:space="1" w:color="008000"/>
          <w:right w:val="double" w:sz="4" w:space="4" w:color="008000"/>
        </w:pBdr>
        <w:rPr>
          <w:vanish/>
          <w:color w:val="008000"/>
          <w:szCs w:val="20"/>
        </w:rPr>
      </w:pPr>
      <w:r w:rsidRPr="00A10223">
        <w:rPr>
          <w:vanish/>
          <w:color w:val="008000"/>
          <w:szCs w:val="20"/>
        </w:rPr>
        <w:t>The information in this section can be presented in table or numbered list format or sub-sections of descriptive text.  Include issues and important discussion points that arose during the sub-committee or working group's effort to develop the gap analysis proposal.  Also include resolutions of the issues and discussion points.  The items will aid in understanding the thought process and tracks for the decisions made.</w:t>
      </w:r>
    </w:p>
    <w:p w14:paraId="5B469490" w14:textId="425034F3" w:rsidR="00F60C0F" w:rsidRDefault="00A86912" w:rsidP="00A86912">
      <w:pPr>
        <w:pStyle w:val="Heading2"/>
      </w:pPr>
      <w:bookmarkStart w:id="19" w:name="_Toc19023310"/>
      <w:r>
        <w:t>Field Omission</w:t>
      </w:r>
      <w:bookmarkEnd w:id="19"/>
    </w:p>
    <w:p w14:paraId="2B89DB44" w14:textId="223E1745" w:rsidR="00F60C0F" w:rsidRPr="007146FC" w:rsidRDefault="00F60C0F" w:rsidP="00A86912">
      <w:pPr>
        <w:pStyle w:val="BodyText"/>
        <w:rPr>
          <w:color w:val="000000"/>
          <w:szCs w:val="22"/>
        </w:rPr>
      </w:pPr>
      <w:r w:rsidRPr="007146FC">
        <w:rPr>
          <w:color w:val="000000"/>
          <w:szCs w:val="22"/>
        </w:rPr>
        <w:t xml:space="preserve">One alternative would be for broker-dealers to not provide this FIX </w:t>
      </w:r>
      <w:r w:rsidR="00E826E7" w:rsidRPr="007146FC">
        <w:rPr>
          <w:color w:val="000000"/>
          <w:szCs w:val="22"/>
        </w:rPr>
        <w:t xml:space="preserve">field </w:t>
      </w:r>
      <w:r w:rsidRPr="007146FC">
        <w:rPr>
          <w:color w:val="000000"/>
          <w:szCs w:val="22"/>
        </w:rPr>
        <w:t>when an order neither provides nor removes liquidity. The concern with this approach is that a party receiving this FIX message might identify this scenario as an error where the sender failed to provide a valid last liquidity code, as opposed to interpreting this as a default value of “neither adding nor removing liquidity”. It would provide greater clarity to industry participants to include “neither adding nor removing liquidity” as an explicit value for this FIX</w:t>
      </w:r>
      <w:r w:rsidR="005D49F9" w:rsidRPr="007146FC">
        <w:rPr>
          <w:color w:val="000000"/>
          <w:szCs w:val="22"/>
        </w:rPr>
        <w:t xml:space="preserve"> </w:t>
      </w:r>
      <w:r w:rsidR="00E826E7" w:rsidRPr="007146FC">
        <w:rPr>
          <w:color w:val="000000"/>
          <w:szCs w:val="22"/>
        </w:rPr>
        <w:t>field</w:t>
      </w:r>
      <w:r w:rsidRPr="007146FC">
        <w:rPr>
          <w:color w:val="000000"/>
          <w:szCs w:val="22"/>
        </w:rPr>
        <w:t>. It would also reduce unintended errors.</w:t>
      </w:r>
    </w:p>
    <w:p w14:paraId="7EDD8CFF" w14:textId="1CF3EE09" w:rsidR="00A86912" w:rsidRDefault="00A86912" w:rsidP="00A86912">
      <w:pPr>
        <w:pStyle w:val="Heading2"/>
      </w:pPr>
      <w:bookmarkStart w:id="20" w:name="_Toc19023311"/>
      <w:r>
        <w:t>Explicit Value per Use Case</w:t>
      </w:r>
      <w:bookmarkEnd w:id="20"/>
    </w:p>
    <w:p w14:paraId="0DDFC470" w14:textId="3E3F4F64" w:rsidR="00313EC3" w:rsidRPr="007146FC" w:rsidRDefault="00F60C0F" w:rsidP="00F60C0F">
      <w:pPr>
        <w:pStyle w:val="BodyText"/>
        <w:rPr>
          <w:color w:val="000000"/>
          <w:szCs w:val="22"/>
        </w:rPr>
      </w:pPr>
      <w:r w:rsidRPr="007146FC">
        <w:rPr>
          <w:color w:val="000000"/>
          <w:szCs w:val="22"/>
        </w:rPr>
        <w:t xml:space="preserve">A second alternative would be to provide a distinct value for each scenario where an order neither provides nor removes liquidity. The concern with this approach is that it would be difficult to identify each scenario that involves neither providing nor removing liquidity. It might also require ongoing updates to this FIX </w:t>
      </w:r>
      <w:r w:rsidR="00E826E7" w:rsidRPr="007146FC">
        <w:rPr>
          <w:color w:val="000000"/>
          <w:szCs w:val="22"/>
        </w:rPr>
        <w:t xml:space="preserve">field </w:t>
      </w:r>
      <w:r w:rsidRPr="007146FC">
        <w:rPr>
          <w:color w:val="000000"/>
          <w:szCs w:val="22"/>
        </w:rPr>
        <w:t>as new scenarios are identified.</w:t>
      </w:r>
    </w:p>
    <w:p w14:paraId="777F73FE" w14:textId="77777777" w:rsidR="00B04686" w:rsidRDefault="00B04686" w:rsidP="00F60C0F">
      <w:pPr>
        <w:pStyle w:val="BodyText"/>
      </w:pPr>
    </w:p>
    <w:p w14:paraId="1F6ED406" w14:textId="6336D1FF" w:rsidR="003971C3" w:rsidRDefault="003971C3" w:rsidP="007146FC">
      <w:pPr>
        <w:pStyle w:val="Heading1"/>
      </w:pPr>
      <w:bookmarkStart w:id="21" w:name="_Toc19023312"/>
      <w:r>
        <w:t xml:space="preserve">Proposed </w:t>
      </w:r>
      <w:r w:rsidRPr="00313EC3">
        <w:t>Message</w:t>
      </w:r>
      <w:r>
        <w:t xml:space="preserve"> Flow</w:t>
      </w:r>
      <w:bookmarkEnd w:id="21"/>
    </w:p>
    <w:p w14:paraId="4C2C9DFF" w14:textId="66B9F4F7" w:rsidR="00BE2DF5" w:rsidRDefault="00B04686" w:rsidP="00172ACC">
      <w:pPr>
        <w:pStyle w:val="BodyText"/>
        <w:rPr>
          <w:i/>
        </w:rPr>
      </w:pPr>
      <w:r w:rsidRPr="00A056A3">
        <w:rPr>
          <w:i/>
        </w:rPr>
        <w:t>There are no changes to existing FIX</w:t>
      </w:r>
      <w:r>
        <w:rPr>
          <w:i/>
        </w:rPr>
        <w:t xml:space="preserve"> message flows.</w:t>
      </w:r>
    </w:p>
    <w:p w14:paraId="5302A0DF" w14:textId="77777777" w:rsidR="00B04686" w:rsidRDefault="00B04686" w:rsidP="00172ACC">
      <w:pPr>
        <w:pStyle w:val="BodyText"/>
      </w:pPr>
    </w:p>
    <w:p w14:paraId="01DFA345" w14:textId="116616A1" w:rsidR="004B356C" w:rsidRPr="00EB3995" w:rsidRDefault="004B356C" w:rsidP="00313EC3">
      <w:pPr>
        <w:pStyle w:val="Heading1"/>
      </w:pPr>
      <w:bookmarkStart w:id="22" w:name="_Toc19023313"/>
      <w:r w:rsidRPr="00EB3995">
        <w:t xml:space="preserve">FIX </w:t>
      </w:r>
      <w:r w:rsidRPr="00313EC3">
        <w:t>Message</w:t>
      </w:r>
      <w:r w:rsidRPr="00EB3995">
        <w:t xml:space="preserve"> Tables</w:t>
      </w:r>
      <w:bookmarkEnd w:id="22"/>
    </w:p>
    <w:p w14:paraId="1C40AEA6" w14:textId="147EC9BA" w:rsidR="004B356C" w:rsidRPr="00A056A3" w:rsidRDefault="000F1A3F" w:rsidP="000F1A3F">
      <w:pPr>
        <w:pStyle w:val="BodyText"/>
        <w:rPr>
          <w:i/>
        </w:rPr>
      </w:pPr>
      <w:r w:rsidRPr="00A056A3">
        <w:rPr>
          <w:i/>
        </w:rPr>
        <w:t xml:space="preserve">There are no changes to existing FIX message tables. </w:t>
      </w:r>
    </w:p>
    <w:p w14:paraId="5F0D90A0" w14:textId="77777777" w:rsidR="000F1A3F" w:rsidRPr="00A056A3" w:rsidRDefault="000F1A3F" w:rsidP="00A056A3">
      <w:pPr>
        <w:pStyle w:val="BodyText"/>
      </w:pPr>
    </w:p>
    <w:p w14:paraId="65BCA730" w14:textId="4C01418B" w:rsidR="000F1A3F" w:rsidRDefault="000F1A3F" w:rsidP="00A056A3">
      <w:pPr>
        <w:pStyle w:val="Heading1"/>
      </w:pPr>
      <w:bookmarkStart w:id="23" w:name="_Toc19023314"/>
      <w:r>
        <w:t>FIX Component Blocks</w:t>
      </w:r>
      <w:bookmarkEnd w:id="23"/>
    </w:p>
    <w:p w14:paraId="0F808A5B" w14:textId="1167CF87" w:rsidR="000F1A3F" w:rsidRDefault="000F1A3F" w:rsidP="000F1A3F">
      <w:pPr>
        <w:pStyle w:val="BodyText"/>
        <w:rPr>
          <w:i/>
        </w:rPr>
      </w:pPr>
      <w:r w:rsidRPr="000E7B7D">
        <w:rPr>
          <w:i/>
        </w:rPr>
        <w:t>There are no changes to</w:t>
      </w:r>
      <w:r>
        <w:rPr>
          <w:i/>
        </w:rPr>
        <w:t xml:space="preserve"> </w:t>
      </w:r>
      <w:r w:rsidR="009D25F6">
        <w:rPr>
          <w:i/>
        </w:rPr>
        <w:t xml:space="preserve">existing </w:t>
      </w:r>
      <w:r>
        <w:rPr>
          <w:i/>
        </w:rPr>
        <w:t>FIX component blocks.</w:t>
      </w:r>
    </w:p>
    <w:p w14:paraId="6478AF1D" w14:textId="77777777" w:rsidR="000F1A3F" w:rsidRDefault="000F1A3F" w:rsidP="000F1A3F">
      <w:pPr>
        <w:pStyle w:val="BodyText"/>
        <w:rPr>
          <w:i/>
        </w:rPr>
      </w:pPr>
    </w:p>
    <w:p w14:paraId="4D863DFD" w14:textId="77777777" w:rsidR="000F1A3F" w:rsidRDefault="000F1A3F" w:rsidP="00A056A3">
      <w:pPr>
        <w:pStyle w:val="Heading1"/>
      </w:pPr>
      <w:bookmarkStart w:id="24" w:name="_Toc19023315"/>
      <w:r>
        <w:t>Category Changes</w:t>
      </w:r>
      <w:bookmarkEnd w:id="24"/>
    </w:p>
    <w:p w14:paraId="21EB7619" w14:textId="6F91BFDF" w:rsidR="000F1A3F" w:rsidRPr="00B04686" w:rsidRDefault="000F1A3F" w:rsidP="00B04686">
      <w:pPr>
        <w:pStyle w:val="BodyText"/>
        <w:rPr>
          <w:i/>
        </w:rPr>
      </w:pPr>
      <w:r w:rsidRPr="000E7B7D">
        <w:rPr>
          <w:i/>
        </w:rPr>
        <w:t xml:space="preserve"> </w:t>
      </w:r>
      <w:r w:rsidR="009D25F6">
        <w:rPr>
          <w:i/>
        </w:rPr>
        <w:t>There are no changes to existing categories.</w:t>
      </w:r>
    </w:p>
    <w:p w14:paraId="28502DEE" w14:textId="77777777" w:rsidR="004B356C" w:rsidRDefault="004B356C" w:rsidP="004B356C">
      <w:pPr>
        <w:rPr>
          <w:rFonts w:ascii="Arial" w:hAnsi="Arial" w:cs="Arial"/>
          <w:b/>
          <w:bCs/>
          <w:kern w:val="32"/>
          <w:sz w:val="32"/>
          <w:szCs w:val="32"/>
        </w:rPr>
      </w:pPr>
    </w:p>
    <w:p w14:paraId="174186E8" w14:textId="624FBE9B" w:rsidR="0046798E" w:rsidRPr="00A056A3" w:rsidRDefault="0046798E" w:rsidP="00A056A3">
      <w:pPr>
        <w:sectPr w:rsidR="0046798E" w:rsidRPr="00A056A3" w:rsidSect="00331B08">
          <w:headerReference w:type="default" r:id="rId14"/>
          <w:footerReference w:type="default" r:id="rId15"/>
          <w:pgSz w:w="12240" w:h="15840" w:code="1"/>
          <w:pgMar w:top="720" w:right="1440" w:bottom="1440" w:left="1440" w:header="720" w:footer="720" w:gutter="0"/>
          <w:cols w:space="720"/>
          <w:docGrid w:linePitch="360"/>
        </w:sectPr>
      </w:pPr>
    </w:p>
    <w:p w14:paraId="230AD9CE" w14:textId="4A3A9EEB" w:rsidR="00AA5A94" w:rsidRPr="00A10223" w:rsidRDefault="00F85F52" w:rsidP="00A10223">
      <w:pPr>
        <w:pStyle w:val="Heading1"/>
        <w:numPr>
          <w:ilvl w:val="0"/>
          <w:numId w:val="0"/>
        </w:numPr>
      </w:pPr>
      <w:bookmarkStart w:id="25" w:name="_Toc19023316"/>
      <w:r>
        <w:t>Appendix A - Data Dictionary</w:t>
      </w:r>
      <w:bookmarkEnd w:id="25"/>
      <w:r w:rsidR="00AA5A94">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sidR="00AA5A94">
        <w:rPr>
          <w:vanish/>
          <w:color w:val="008000"/>
          <w:szCs w:val="20"/>
        </w:rPr>
        <w:t xml:space="preserve">Each row, representing a field, must </w:t>
      </w:r>
      <w:r w:rsidRPr="003704FE">
        <w:rPr>
          <w:vanish/>
          <w:color w:val="008000"/>
          <w:szCs w:val="20"/>
        </w:rPr>
        <w:t xml:space="preserve">identify the </w:t>
      </w:r>
      <w:r w:rsidR="0061223B">
        <w:rPr>
          <w:vanish/>
          <w:color w:val="008000"/>
          <w:szCs w:val="20"/>
        </w:rPr>
        <w:t xml:space="preserve">requested </w:t>
      </w:r>
      <w:r w:rsidRPr="003704FE">
        <w:rPr>
          <w:vanish/>
          <w:color w:val="008000"/>
          <w:szCs w:val="20"/>
        </w:rPr>
        <w:t xml:space="preserve">action of </w:t>
      </w:r>
      <w:r w:rsidR="0061223B">
        <w:rPr>
          <w:vanish/>
          <w:color w:val="008000"/>
          <w:szCs w:val="20"/>
        </w:rPr>
        <w:t xml:space="preserve">“new”, </w:t>
      </w:r>
      <w:r w:rsidRPr="003704FE">
        <w:rPr>
          <w:vanish/>
          <w:color w:val="008000"/>
          <w:szCs w:val="20"/>
        </w:rPr>
        <w:t>"add", "change"</w:t>
      </w:r>
      <w:r w:rsidR="0061223B">
        <w:rPr>
          <w:vanish/>
          <w:color w:val="008000"/>
          <w:szCs w:val="20"/>
        </w:rPr>
        <w:t>,</w:t>
      </w:r>
      <w:r w:rsidRPr="003704FE">
        <w:rPr>
          <w:vanish/>
          <w:color w:val="008000"/>
          <w:szCs w:val="20"/>
        </w:rPr>
        <w:t xml:space="preserve"> or "deprecate"</w:t>
      </w:r>
      <w:r w:rsidR="0061223B">
        <w:rPr>
          <w:vanish/>
          <w:color w:val="008000"/>
          <w:szCs w:val="20"/>
        </w:rPr>
        <w:t xml:space="preserve"> for each field</w:t>
      </w:r>
      <w:r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FieldName</w:t>
      </w:r>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r w:rsidR="00DC6183">
        <w:rPr>
          <w:vanish/>
          <w:color w:val="008000"/>
          <w:szCs w:val="20"/>
        </w:rPr>
        <w:t>int, Price, Boolean, etc. (See FIXimate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0AECDD76" w14:textId="77777777" w:rsidR="003F27AC" w:rsidRDefault="003F27AC" w:rsidP="00172ACC">
      <w:pPr>
        <w:pStyle w:val="BodyText"/>
      </w:pPr>
    </w:p>
    <w:tbl>
      <w:tblPr>
        <w:tblW w:w="13350"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1750"/>
        <w:gridCol w:w="1081"/>
        <w:gridCol w:w="761"/>
        <w:gridCol w:w="4962"/>
        <w:gridCol w:w="1655"/>
        <w:gridCol w:w="2314"/>
      </w:tblGrid>
      <w:tr w:rsidR="006D13FA" w:rsidRPr="00CC134C" w14:paraId="2CD389C9" w14:textId="77777777" w:rsidTr="006D13FA">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1750"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761" w:type="dxa"/>
            <w:tcBorders>
              <w:top w:val="double" w:sz="4" w:space="0" w:color="auto"/>
              <w:bottom w:val="double" w:sz="4" w:space="0" w:color="auto"/>
            </w:tcBorders>
            <w:shd w:val="pct10" w:color="auto" w:fill="FFFFFF"/>
          </w:tcPr>
          <w:p w14:paraId="48D5DE17" w14:textId="315029AE" w:rsidR="007600CB" w:rsidRPr="00CC134C" w:rsidRDefault="007600CB" w:rsidP="00CC134C">
            <w:pPr>
              <w:rPr>
                <w:b/>
              </w:rPr>
            </w:pPr>
            <w:proofErr w:type="gramStart"/>
            <w:r w:rsidRPr="00CC134C">
              <w:rPr>
                <w:b/>
              </w:rPr>
              <w:t>Data</w:t>
            </w:r>
            <w:r w:rsidR="006D13FA">
              <w:rPr>
                <w:b/>
              </w:rPr>
              <w:t>-</w:t>
            </w:r>
            <w:r w:rsidRPr="00CC134C">
              <w:rPr>
                <w:b/>
              </w:rPr>
              <w:t>type</w:t>
            </w:r>
            <w:proofErr w:type="gramEnd"/>
          </w:p>
        </w:tc>
        <w:tc>
          <w:tcPr>
            <w:tcW w:w="4962"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2314"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6D13FA" w14:paraId="3297F9AB" w14:textId="77777777" w:rsidTr="00A60C32">
        <w:tc>
          <w:tcPr>
            <w:tcW w:w="827" w:type="dxa"/>
            <w:tcBorders>
              <w:top w:val="double" w:sz="4" w:space="0" w:color="auto"/>
            </w:tcBorders>
          </w:tcPr>
          <w:p w14:paraId="3F9A0992" w14:textId="7BE61459" w:rsidR="00313EC3" w:rsidRDefault="00313EC3" w:rsidP="00313EC3">
            <w:pPr>
              <w:jc w:val="center"/>
            </w:pPr>
            <w:r>
              <w:t>851</w:t>
            </w:r>
          </w:p>
        </w:tc>
        <w:tc>
          <w:tcPr>
            <w:tcW w:w="1750" w:type="dxa"/>
            <w:tcBorders>
              <w:top w:val="double" w:sz="4" w:space="0" w:color="auto"/>
            </w:tcBorders>
          </w:tcPr>
          <w:p w14:paraId="136E03C7" w14:textId="156DD8FC" w:rsidR="00313EC3" w:rsidRDefault="00313EC3" w:rsidP="00313EC3">
            <w:proofErr w:type="spellStart"/>
            <w:r>
              <w:t>LastLiquidityInd</w:t>
            </w:r>
            <w:proofErr w:type="spellEnd"/>
          </w:p>
        </w:tc>
        <w:tc>
          <w:tcPr>
            <w:tcW w:w="1081" w:type="dxa"/>
            <w:tcBorders>
              <w:top w:val="double" w:sz="4" w:space="0" w:color="auto"/>
            </w:tcBorders>
          </w:tcPr>
          <w:p w14:paraId="7E93A5AF" w14:textId="3229F7F1" w:rsidR="00313EC3" w:rsidRPr="0056368C" w:rsidRDefault="00313EC3" w:rsidP="00313EC3">
            <w:pPr>
              <w:rPr>
                <w:highlight w:val="yellow"/>
              </w:rPr>
            </w:pPr>
            <w:r w:rsidRPr="00313EC3">
              <w:rPr>
                <w:highlight w:val="yellow"/>
              </w:rPr>
              <w:t>CHANGE</w:t>
            </w:r>
          </w:p>
        </w:tc>
        <w:tc>
          <w:tcPr>
            <w:tcW w:w="761" w:type="dxa"/>
            <w:tcBorders>
              <w:top w:val="double" w:sz="4" w:space="0" w:color="auto"/>
            </w:tcBorders>
          </w:tcPr>
          <w:p w14:paraId="014813DA" w14:textId="0F199B77" w:rsidR="00313EC3" w:rsidRDefault="00313EC3" w:rsidP="00313EC3">
            <w:r>
              <w:t>int</w:t>
            </w:r>
          </w:p>
        </w:tc>
        <w:tc>
          <w:tcPr>
            <w:tcW w:w="4962" w:type="dxa"/>
            <w:tcBorders>
              <w:top w:val="double" w:sz="4" w:space="0" w:color="auto"/>
            </w:tcBorders>
          </w:tcPr>
          <w:p w14:paraId="37AEF44C" w14:textId="77777777" w:rsidR="00E6452C" w:rsidRPr="00E6452C" w:rsidRDefault="00E6452C" w:rsidP="00E6452C">
            <w:pPr>
              <w:pStyle w:val="even"/>
              <w:spacing w:before="30" w:beforeAutospacing="0" w:after="30" w:afterAutospacing="0"/>
              <w:rPr>
                <w:rFonts w:asciiTheme="minorHAnsi" w:hAnsiTheme="minorHAnsi" w:cstheme="minorHAnsi"/>
                <w:color w:val="000000"/>
                <w:sz w:val="22"/>
                <w:szCs w:val="22"/>
                <w:lang w:val="en-US"/>
              </w:rPr>
            </w:pPr>
            <w:r w:rsidRPr="00E6452C">
              <w:rPr>
                <w:rFonts w:asciiTheme="minorHAnsi" w:hAnsiTheme="minorHAnsi" w:cstheme="minorHAnsi"/>
                <w:color w:val="000000"/>
                <w:sz w:val="22"/>
                <w:szCs w:val="22"/>
                <w:lang w:val="en-US"/>
              </w:rPr>
              <w:t>Indicator to identify whether this fill was a result of a liquidity provider providing or liquidity taker taking the liquidity.</w:t>
            </w:r>
          </w:p>
          <w:p w14:paraId="4014DA25" w14:textId="66911A19" w:rsidR="00E6452C" w:rsidRPr="00E6452C" w:rsidRDefault="00E6452C" w:rsidP="00313EC3">
            <w:pPr>
              <w:rPr>
                <w:rFonts w:cstheme="minorHAnsi"/>
                <w:sz w:val="32"/>
                <w:szCs w:val="32"/>
              </w:rPr>
            </w:pPr>
          </w:p>
          <w:p w14:paraId="646DDF92" w14:textId="6FF7ABAE" w:rsidR="00313EC3" w:rsidRDefault="00E6452C" w:rsidP="00313EC3">
            <w:r>
              <w:t>V</w:t>
            </w:r>
            <w:r w:rsidR="00313EC3">
              <w:t>alid value</w:t>
            </w:r>
            <w:r>
              <w:t>s</w:t>
            </w:r>
            <w:r w:rsidR="00313EC3">
              <w:t>:</w:t>
            </w:r>
          </w:p>
          <w:p w14:paraId="0B8226F4" w14:textId="024213F9" w:rsidR="00E6452C" w:rsidRDefault="00E6452C" w:rsidP="00313EC3">
            <w:r>
              <w:t>1 = Added Liquidity</w:t>
            </w:r>
          </w:p>
          <w:p w14:paraId="3C04F5F3" w14:textId="556F45A6" w:rsidR="00E6452C" w:rsidRDefault="00E6452C" w:rsidP="00313EC3">
            <w:r>
              <w:t>2 = Removed Liquidity</w:t>
            </w:r>
          </w:p>
          <w:p w14:paraId="28CFDCD4" w14:textId="7FA8BF59" w:rsidR="00865658" w:rsidRDefault="00865658" w:rsidP="00313EC3">
            <w:r>
              <w:t>3 = Liquidity Routed Out</w:t>
            </w:r>
          </w:p>
          <w:p w14:paraId="07C1C2FB" w14:textId="4C9B918E" w:rsidR="00865658" w:rsidRDefault="00865658" w:rsidP="00313EC3">
            <w:r>
              <w:t xml:space="preserve">4 = Auction </w:t>
            </w:r>
            <w:r w:rsidRPr="00AD602C">
              <w:rPr>
                <w:highlight w:val="yellow"/>
              </w:rPr>
              <w:t>Execution</w:t>
            </w:r>
          </w:p>
          <w:p w14:paraId="483D5FB6" w14:textId="758DA13B" w:rsidR="00865658" w:rsidRDefault="00E6452C" w:rsidP="00313EC3">
            <w:r>
              <w:t>…</w:t>
            </w:r>
          </w:p>
          <w:p w14:paraId="793C621F" w14:textId="1DD58845" w:rsidR="00B04686" w:rsidRDefault="00313EC3" w:rsidP="00313EC3">
            <w:pPr>
              <w:rPr>
                <w:highlight w:val="yellow"/>
              </w:rPr>
            </w:pPr>
            <w:r w:rsidRPr="00313EC3">
              <w:rPr>
                <w:highlight w:val="yellow"/>
              </w:rPr>
              <w:t xml:space="preserve">TBD = Neither Added </w:t>
            </w:r>
            <w:r w:rsidR="00E826E7">
              <w:rPr>
                <w:highlight w:val="yellow"/>
              </w:rPr>
              <w:t>n</w:t>
            </w:r>
            <w:r w:rsidRPr="00313EC3">
              <w:rPr>
                <w:highlight w:val="yellow"/>
              </w:rPr>
              <w:t>or Removed Liquidity</w:t>
            </w:r>
          </w:p>
          <w:p w14:paraId="120A659A" w14:textId="77777777" w:rsidR="00313EC3" w:rsidRDefault="00B04686" w:rsidP="00313EC3">
            <w:r>
              <w:rPr>
                <w:highlight w:val="yellow"/>
              </w:rPr>
              <w:t>[Elaboration: Subject to bilateral agreement, this value can only be used if</w:t>
            </w:r>
            <w:r w:rsidR="00313EC3" w:rsidRPr="00313EC3">
              <w:rPr>
                <w:highlight w:val="yellow"/>
              </w:rPr>
              <w:t xml:space="preserve"> no</w:t>
            </w:r>
            <w:r>
              <w:rPr>
                <w:highlight w:val="yellow"/>
              </w:rPr>
              <w:t>ne of the specific</w:t>
            </w:r>
            <w:r w:rsidR="00313EC3" w:rsidRPr="00313EC3">
              <w:rPr>
                <w:highlight w:val="yellow"/>
              </w:rPr>
              <w:t xml:space="preserve"> values apply</w:t>
            </w:r>
            <w:r w:rsidR="00E6452C">
              <w:rPr>
                <w:highlight w:val="yellow"/>
              </w:rPr>
              <w:t>.]</w:t>
            </w:r>
          </w:p>
          <w:p w14:paraId="29AC19CD" w14:textId="55019F64" w:rsidR="007310E9" w:rsidRPr="00A56823" w:rsidRDefault="007310E9" w:rsidP="00313EC3">
            <w:pPr>
              <w:rPr>
                <w:highlight w:val="yellow"/>
              </w:rPr>
            </w:pPr>
            <w:r w:rsidRPr="007146FC">
              <w:rPr>
                <w:highlight w:val="yellow"/>
              </w:rPr>
              <w:t xml:space="preserve">TBD </w:t>
            </w:r>
            <w:r w:rsidRPr="007146FC">
              <w:rPr>
                <w:szCs w:val="22"/>
                <w:highlight w:val="yellow"/>
              </w:rPr>
              <w:t xml:space="preserve">= </w:t>
            </w:r>
            <w:r w:rsidR="006D13FA" w:rsidRPr="007146FC">
              <w:rPr>
                <w:color w:val="000000"/>
                <w:szCs w:val="22"/>
                <w:highlight w:val="yellow"/>
              </w:rPr>
              <w:t>Removed liquidity after</w:t>
            </w:r>
            <w:r w:rsidR="006D13FA" w:rsidRPr="007146FC">
              <w:rPr>
                <w:color w:val="000000"/>
                <w:sz w:val="20"/>
                <w:szCs w:val="20"/>
                <w:highlight w:val="yellow"/>
              </w:rPr>
              <w:t xml:space="preserve"> </w:t>
            </w:r>
            <w:r w:rsidR="00A56823" w:rsidRPr="00AD602C">
              <w:rPr>
                <w:color w:val="000000"/>
                <w:szCs w:val="22"/>
                <w:highlight w:val="yellow"/>
              </w:rPr>
              <w:t>firm order commitment</w:t>
            </w:r>
          </w:p>
          <w:p w14:paraId="356EE081" w14:textId="25C64435" w:rsidR="007310E9" w:rsidRPr="007146FC" w:rsidRDefault="007310E9" w:rsidP="00313EC3">
            <w:pPr>
              <w:rPr>
                <w:highlight w:val="yellow"/>
              </w:rPr>
            </w:pPr>
            <w:r w:rsidRPr="007146FC">
              <w:rPr>
                <w:highlight w:val="yellow"/>
              </w:rPr>
              <w:t xml:space="preserve">[Elaboration: </w:t>
            </w:r>
            <w:r w:rsidR="006D13FA" w:rsidRPr="007146FC">
              <w:rPr>
                <w:highlight w:val="yellow"/>
              </w:rPr>
              <w:t xml:space="preserve">An order that </w:t>
            </w:r>
            <w:r w:rsidR="00A56823">
              <w:rPr>
                <w:highlight w:val="yellow"/>
              </w:rPr>
              <w:t>was</w:t>
            </w:r>
            <w:r w:rsidR="006D13FA" w:rsidRPr="007146FC">
              <w:rPr>
                <w:highlight w:val="yellow"/>
              </w:rPr>
              <w:t xml:space="preserve"> submitted </w:t>
            </w:r>
            <w:r w:rsidR="006D13FA">
              <w:rPr>
                <w:highlight w:val="yellow"/>
              </w:rPr>
              <w:t>for</w:t>
            </w:r>
            <w:r w:rsidR="006D13FA" w:rsidRPr="007146FC">
              <w:rPr>
                <w:highlight w:val="yellow"/>
              </w:rPr>
              <w:t xml:space="preserve"> continuous trading that required </w:t>
            </w:r>
            <w:r w:rsidR="00A56823">
              <w:rPr>
                <w:highlight w:val="yellow"/>
              </w:rPr>
              <w:t xml:space="preserve">a firm order commit </w:t>
            </w:r>
            <w:r w:rsidR="006D13FA" w:rsidRPr="007146FC">
              <w:rPr>
                <w:highlight w:val="yellow"/>
              </w:rPr>
              <w:t>prior to execution.</w:t>
            </w:r>
            <w:r w:rsidR="00B60388">
              <w:rPr>
                <w:highlight w:val="yellow"/>
              </w:rPr>
              <w:t xml:space="preserve"> “Conditional order” is an alternate term used for such orders.</w:t>
            </w:r>
            <w:r w:rsidRPr="007146FC">
              <w:rPr>
                <w:highlight w:val="yellow"/>
              </w:rPr>
              <w:t>]</w:t>
            </w:r>
          </w:p>
          <w:p w14:paraId="46685F39" w14:textId="4D7B1117" w:rsidR="006D13FA" w:rsidRPr="007146FC" w:rsidRDefault="006D13FA" w:rsidP="006D13FA">
            <w:pPr>
              <w:rPr>
                <w:highlight w:val="yellow"/>
              </w:rPr>
            </w:pPr>
            <w:r w:rsidRPr="007146FC">
              <w:rPr>
                <w:highlight w:val="yellow"/>
              </w:rPr>
              <w:t xml:space="preserve">TBD = Auction </w:t>
            </w:r>
            <w:r w:rsidR="00865658">
              <w:rPr>
                <w:highlight w:val="yellow"/>
              </w:rPr>
              <w:t>execution</w:t>
            </w:r>
            <w:r w:rsidR="00865658" w:rsidRPr="007146FC">
              <w:rPr>
                <w:highlight w:val="yellow"/>
              </w:rPr>
              <w:t xml:space="preserve"> </w:t>
            </w:r>
            <w:r w:rsidR="00E35CB9">
              <w:rPr>
                <w:highlight w:val="yellow"/>
              </w:rPr>
              <w:t>after</w:t>
            </w:r>
            <w:r w:rsidRPr="007146FC">
              <w:rPr>
                <w:highlight w:val="yellow"/>
              </w:rPr>
              <w:t xml:space="preserve"> </w:t>
            </w:r>
            <w:r w:rsidR="00A56823" w:rsidRPr="00AD602C">
              <w:rPr>
                <w:color w:val="000000"/>
                <w:szCs w:val="22"/>
                <w:highlight w:val="yellow"/>
              </w:rPr>
              <w:t>firm order commitment</w:t>
            </w:r>
          </w:p>
          <w:p w14:paraId="452E4D9D" w14:textId="454E8B21" w:rsidR="006D13FA" w:rsidRPr="002071A7" w:rsidRDefault="006D13FA" w:rsidP="00313EC3">
            <w:r w:rsidRPr="007146FC">
              <w:rPr>
                <w:highlight w:val="yellow"/>
              </w:rPr>
              <w:t xml:space="preserve">[Elaboration: An order that </w:t>
            </w:r>
            <w:r w:rsidR="00A56823">
              <w:rPr>
                <w:highlight w:val="yellow"/>
              </w:rPr>
              <w:t>was</w:t>
            </w:r>
            <w:r w:rsidRPr="007146FC">
              <w:rPr>
                <w:highlight w:val="yellow"/>
              </w:rPr>
              <w:t xml:space="preserve"> submitted </w:t>
            </w:r>
            <w:r>
              <w:rPr>
                <w:highlight w:val="yellow"/>
              </w:rPr>
              <w:t>for auction</w:t>
            </w:r>
            <w:r w:rsidRPr="007146FC">
              <w:rPr>
                <w:highlight w:val="yellow"/>
              </w:rPr>
              <w:t xml:space="preserve"> trading that required </w:t>
            </w:r>
            <w:r w:rsidR="00A56823">
              <w:rPr>
                <w:highlight w:val="yellow"/>
              </w:rPr>
              <w:t>a firm order commit</w:t>
            </w:r>
            <w:r w:rsidR="00A56823" w:rsidRPr="007146FC">
              <w:rPr>
                <w:highlight w:val="yellow"/>
              </w:rPr>
              <w:t xml:space="preserve"> </w:t>
            </w:r>
            <w:r w:rsidRPr="007146FC">
              <w:rPr>
                <w:highlight w:val="yellow"/>
              </w:rPr>
              <w:t>prior to execution.</w:t>
            </w:r>
            <w:r w:rsidR="00B60388">
              <w:rPr>
                <w:highlight w:val="yellow"/>
              </w:rPr>
              <w:t xml:space="preserve"> “Conditional order” is an alternate term used for such orders.</w:t>
            </w:r>
            <w:r w:rsidRPr="007146FC">
              <w:rPr>
                <w:highlight w:val="yellow"/>
              </w:rPr>
              <w:t>]</w:t>
            </w:r>
          </w:p>
        </w:tc>
        <w:tc>
          <w:tcPr>
            <w:tcW w:w="1655" w:type="dxa"/>
            <w:tcBorders>
              <w:top w:val="double" w:sz="4" w:space="0" w:color="auto"/>
            </w:tcBorders>
          </w:tcPr>
          <w:p w14:paraId="1C645B74" w14:textId="3669869F" w:rsidR="00313EC3" w:rsidRDefault="00E6452C" w:rsidP="00313EC3">
            <w:r>
              <w:t>@</w:t>
            </w:r>
            <w:proofErr w:type="spellStart"/>
            <w:r>
              <w:t>LastLqdtyInd</w:t>
            </w:r>
            <w:proofErr w:type="spellEnd"/>
          </w:p>
        </w:tc>
        <w:tc>
          <w:tcPr>
            <w:tcW w:w="2314" w:type="dxa"/>
            <w:tcBorders>
              <w:top w:val="double" w:sz="4" w:space="0" w:color="auto"/>
            </w:tcBorders>
          </w:tcPr>
          <w:p w14:paraId="511520CB" w14:textId="77777777" w:rsidR="00313EC3" w:rsidRDefault="00313EC3" w:rsidP="00313EC3"/>
        </w:tc>
      </w:tr>
    </w:tbl>
    <w:p w14:paraId="145CFF00" w14:textId="77777777" w:rsidR="00CC134C" w:rsidRDefault="00CC134C" w:rsidP="000B1019">
      <w:pPr>
        <w:pStyle w:val="Heading1"/>
        <w:numPr>
          <w:ilvl w:val="0"/>
          <w:numId w:val="0"/>
        </w:numPr>
        <w:sectPr w:rsidR="00CC134C" w:rsidSect="00142D98">
          <w:headerReference w:type="default" r:id="rId16"/>
          <w:footerReference w:type="default" r:id="rId17"/>
          <w:pgSz w:w="15840" w:h="12240" w:orient="landscape" w:code="1"/>
          <w:pgMar w:top="1440" w:right="1440" w:bottom="1440" w:left="1440" w:header="720" w:footer="720" w:gutter="0"/>
          <w:cols w:space="720"/>
          <w:docGrid w:linePitch="360"/>
        </w:sectPr>
      </w:pPr>
    </w:p>
    <w:p w14:paraId="0AB214DE" w14:textId="11A37C67" w:rsidR="00AB2374" w:rsidRDefault="00AB2374" w:rsidP="000B1019">
      <w:pPr>
        <w:pStyle w:val="BodyText"/>
      </w:pPr>
    </w:p>
    <w:p w14:paraId="49BA6A6C" w14:textId="40BE25E0" w:rsidR="000F1A3F" w:rsidRPr="00A056A3" w:rsidRDefault="000F1A3F" w:rsidP="00A056A3">
      <w:pPr>
        <w:pStyle w:val="Heading1"/>
        <w:numPr>
          <w:ilvl w:val="0"/>
          <w:numId w:val="0"/>
        </w:numPr>
      </w:pPr>
      <w:bookmarkStart w:id="26" w:name="_Toc345162690"/>
      <w:bookmarkStart w:id="27" w:name="_Toc19023317"/>
      <w:r>
        <w:t>Appendix B - Glossary Entries</w:t>
      </w:r>
      <w:bookmarkEnd w:id="26"/>
      <w:bookmarkEnd w:id="27"/>
      <w:r w:rsidRPr="003704FE">
        <w:rPr>
          <w:vanish/>
          <w:color w:val="008000"/>
          <w:szCs w:val="20"/>
        </w:rPr>
        <w:t xml:space="preserve">This section, if included, should contain a table with terminology to be included in the </w:t>
      </w:r>
      <w:r>
        <w:rPr>
          <w:vanish/>
          <w:color w:val="008000"/>
          <w:szCs w:val="20"/>
        </w:rPr>
        <w:t xml:space="preserve">FIX specification </w:t>
      </w:r>
      <w:r w:rsidRPr="003704FE">
        <w:rPr>
          <w:vanish/>
          <w:color w:val="008000"/>
          <w:szCs w:val="20"/>
        </w:rPr>
        <w:t xml:space="preserve">Glossary in Volume 1.  These are usually business terms that are defined to help readers understand the </w:t>
      </w:r>
      <w:r>
        <w:rPr>
          <w:vanish/>
          <w:color w:val="008000"/>
          <w:szCs w:val="20"/>
        </w:rPr>
        <w:t xml:space="preserve">relevant </w:t>
      </w:r>
      <w:r w:rsidRPr="003704FE">
        <w:rPr>
          <w:vanish/>
          <w:color w:val="008000"/>
          <w:szCs w:val="20"/>
        </w:rPr>
        <w:t>space for the proposal.</w:t>
      </w:r>
    </w:p>
    <w:p w14:paraId="0F919604" w14:textId="77777777" w:rsidR="000F1A3F"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Pr>
          <w:vanish/>
          <w:color w:val="008000"/>
          <w:szCs w:val="20"/>
        </w:rPr>
        <w:t xml:space="preserve"> - The business term.</w:t>
      </w:r>
    </w:p>
    <w:p w14:paraId="5F34D6B1" w14:textId="77777777" w:rsidR="000F1A3F"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Pr>
          <w:vanish/>
          <w:color w:val="008000"/>
          <w:szCs w:val="20"/>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1D29D5" w14:textId="77777777" w:rsidR="000F1A3F" w:rsidRPr="003704FE"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Pr>
          <w:vanish/>
          <w:color w:val="008000"/>
          <w:szCs w:val="20"/>
        </w:rPr>
        <w:t xml:space="preserve"> - Identifies the FIX field name for the field where this term is used.</w:t>
      </w:r>
    </w:p>
    <w:p w14:paraId="3EDA8893" w14:textId="77777777" w:rsidR="000F1A3F" w:rsidRDefault="000F1A3F" w:rsidP="000F1A3F">
      <w:pPr>
        <w:pStyle w:val="BodyText"/>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Default="000F1A3F" w:rsidP="00E36D2B">
            <w:pPr>
              <w:jc w:val="center"/>
              <w:rPr>
                <w:b/>
              </w:rPr>
            </w:pPr>
            <w:r>
              <w:rPr>
                <w:b/>
              </w:rPr>
              <w:t>Term</w:t>
            </w:r>
          </w:p>
        </w:tc>
        <w:tc>
          <w:tcPr>
            <w:tcW w:w="5400" w:type="dxa"/>
            <w:tcBorders>
              <w:top w:val="double" w:sz="4" w:space="0" w:color="auto"/>
              <w:bottom w:val="double" w:sz="4" w:space="0" w:color="auto"/>
            </w:tcBorders>
            <w:shd w:val="clear" w:color="auto" w:fill="F3F3F3"/>
          </w:tcPr>
          <w:p w14:paraId="08BDA3A8" w14:textId="77777777" w:rsidR="000F1A3F" w:rsidRDefault="000F1A3F" w:rsidP="00E36D2B">
            <w:pPr>
              <w:jc w:val="center"/>
              <w:rPr>
                <w:b/>
              </w:rPr>
            </w:pPr>
            <w:r>
              <w:rPr>
                <w:b/>
              </w:rPr>
              <w:t>Definition</w:t>
            </w:r>
          </w:p>
        </w:tc>
        <w:tc>
          <w:tcPr>
            <w:tcW w:w="1800" w:type="dxa"/>
            <w:tcBorders>
              <w:top w:val="double" w:sz="4" w:space="0" w:color="auto"/>
              <w:bottom w:val="double" w:sz="4" w:space="0" w:color="auto"/>
            </w:tcBorders>
            <w:shd w:val="clear" w:color="auto" w:fill="F3F3F3"/>
          </w:tcPr>
          <w:p w14:paraId="6E3C11BC" w14:textId="77777777" w:rsidR="000F1A3F" w:rsidRDefault="000F1A3F" w:rsidP="00E36D2B">
            <w:pPr>
              <w:jc w:val="center"/>
              <w:rPr>
                <w:b/>
              </w:rPr>
            </w:pPr>
            <w:r>
              <w:rPr>
                <w:b/>
              </w:rPr>
              <w:t>Field where used</w:t>
            </w:r>
          </w:p>
        </w:tc>
      </w:tr>
      <w:tr w:rsidR="000F1A3F" w14:paraId="452760C3" w14:textId="77777777" w:rsidTr="00A056A3">
        <w:tc>
          <w:tcPr>
            <w:tcW w:w="2358" w:type="dxa"/>
            <w:tcBorders>
              <w:top w:val="double" w:sz="4" w:space="0" w:color="auto"/>
            </w:tcBorders>
          </w:tcPr>
          <w:p w14:paraId="292E2271" w14:textId="77777777" w:rsidR="000F1A3F" w:rsidRDefault="000F1A3F" w:rsidP="00E36D2B"/>
        </w:tc>
        <w:tc>
          <w:tcPr>
            <w:tcW w:w="5400" w:type="dxa"/>
            <w:tcBorders>
              <w:top w:val="double" w:sz="4" w:space="0" w:color="auto"/>
            </w:tcBorders>
          </w:tcPr>
          <w:p w14:paraId="69EC0165" w14:textId="77777777" w:rsidR="000F1A3F" w:rsidRDefault="000F1A3F" w:rsidP="00E36D2B"/>
        </w:tc>
        <w:tc>
          <w:tcPr>
            <w:tcW w:w="1800" w:type="dxa"/>
            <w:tcBorders>
              <w:top w:val="double" w:sz="4" w:space="0" w:color="auto"/>
            </w:tcBorders>
          </w:tcPr>
          <w:p w14:paraId="1DFE7050" w14:textId="77777777" w:rsidR="000F1A3F" w:rsidRDefault="000F1A3F" w:rsidP="00E36D2B"/>
        </w:tc>
      </w:tr>
      <w:tr w:rsidR="000F1A3F" w14:paraId="47742B78" w14:textId="77777777" w:rsidTr="00A056A3">
        <w:tc>
          <w:tcPr>
            <w:tcW w:w="2358" w:type="dxa"/>
          </w:tcPr>
          <w:p w14:paraId="12B7FF6B" w14:textId="77777777" w:rsidR="000F1A3F" w:rsidRDefault="000F1A3F" w:rsidP="00E36D2B"/>
        </w:tc>
        <w:tc>
          <w:tcPr>
            <w:tcW w:w="5400" w:type="dxa"/>
          </w:tcPr>
          <w:p w14:paraId="37CE78E6" w14:textId="77777777" w:rsidR="000F1A3F" w:rsidRDefault="000F1A3F" w:rsidP="00E36D2B"/>
        </w:tc>
        <w:tc>
          <w:tcPr>
            <w:tcW w:w="1800" w:type="dxa"/>
          </w:tcPr>
          <w:p w14:paraId="0700DEE8" w14:textId="77777777" w:rsidR="000F1A3F" w:rsidRDefault="000F1A3F" w:rsidP="00E36D2B"/>
        </w:tc>
      </w:tr>
      <w:tr w:rsidR="000F1A3F" w14:paraId="34539CAF" w14:textId="77777777" w:rsidTr="00A056A3">
        <w:tc>
          <w:tcPr>
            <w:tcW w:w="2358" w:type="dxa"/>
          </w:tcPr>
          <w:p w14:paraId="4EB4757B" w14:textId="77777777" w:rsidR="000F1A3F" w:rsidRDefault="000F1A3F" w:rsidP="00E36D2B"/>
        </w:tc>
        <w:tc>
          <w:tcPr>
            <w:tcW w:w="5400" w:type="dxa"/>
          </w:tcPr>
          <w:p w14:paraId="7C0BD62F" w14:textId="77777777" w:rsidR="000F1A3F" w:rsidRDefault="000F1A3F" w:rsidP="00E36D2B"/>
        </w:tc>
        <w:tc>
          <w:tcPr>
            <w:tcW w:w="1800" w:type="dxa"/>
          </w:tcPr>
          <w:p w14:paraId="6D24B57E" w14:textId="77777777" w:rsidR="000F1A3F" w:rsidRDefault="000F1A3F" w:rsidP="00E36D2B"/>
        </w:tc>
      </w:tr>
      <w:tr w:rsidR="000F1A3F" w14:paraId="21F49815" w14:textId="77777777" w:rsidTr="00A056A3">
        <w:tc>
          <w:tcPr>
            <w:tcW w:w="2358" w:type="dxa"/>
          </w:tcPr>
          <w:p w14:paraId="06AEAD6F" w14:textId="77777777" w:rsidR="000F1A3F" w:rsidRDefault="000F1A3F" w:rsidP="00E36D2B">
            <w:pPr>
              <w:rPr>
                <w:snapToGrid w:val="0"/>
              </w:rPr>
            </w:pPr>
          </w:p>
        </w:tc>
        <w:tc>
          <w:tcPr>
            <w:tcW w:w="5400" w:type="dxa"/>
          </w:tcPr>
          <w:p w14:paraId="76403637" w14:textId="77777777" w:rsidR="000F1A3F" w:rsidRDefault="000F1A3F" w:rsidP="00E36D2B"/>
        </w:tc>
        <w:tc>
          <w:tcPr>
            <w:tcW w:w="1800" w:type="dxa"/>
          </w:tcPr>
          <w:p w14:paraId="186CD358" w14:textId="77777777" w:rsidR="000F1A3F" w:rsidRDefault="000F1A3F" w:rsidP="00E36D2B"/>
        </w:tc>
      </w:tr>
    </w:tbl>
    <w:p w14:paraId="3F7B318D" w14:textId="77777777" w:rsidR="000F1A3F" w:rsidRDefault="000F1A3F" w:rsidP="000F1A3F">
      <w:pPr>
        <w:pStyle w:val="BodyText"/>
      </w:pPr>
    </w:p>
    <w:p w14:paraId="7428B27B" w14:textId="77777777" w:rsidR="000F1A3F" w:rsidRDefault="000F1A3F" w:rsidP="000F1A3F">
      <w:pPr>
        <w:pStyle w:val="BodyText"/>
      </w:pPr>
    </w:p>
    <w:p w14:paraId="585404BB" w14:textId="77777777" w:rsidR="000F1A3F" w:rsidRDefault="000F1A3F" w:rsidP="000F1A3F">
      <w:pPr>
        <w:pStyle w:val="Heading1"/>
        <w:numPr>
          <w:ilvl w:val="0"/>
          <w:numId w:val="0"/>
        </w:numPr>
      </w:pPr>
      <w:bookmarkStart w:id="28" w:name="_Toc345162691"/>
      <w:bookmarkStart w:id="29" w:name="_Toc19023318"/>
      <w:r>
        <w:t>Appendix C - Abbreviations</w:t>
      </w:r>
      <w:bookmarkEnd w:id="28"/>
      <w:bookmarkEnd w:id="29"/>
    </w:p>
    <w:p w14:paraId="2A465114" w14:textId="77777777" w:rsidR="000F1A3F" w:rsidRDefault="000F1A3F" w:rsidP="000F1A3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 an abbreviated name that is primarily used for FIXML (at this time) must be created for them. Abbreviations are standardized within the FIX Specification. A list of abbreviations is maintained in the FIX Repository. You can access the current list of abbreviations via FIXimate on the FPL website. If abbreviations do not exist, use this table to define additional abbreviations required for your proposal.  New abbreviations are subject to final approval of and may be changed by the GTC.</w:t>
      </w:r>
    </w:p>
    <w:p w14:paraId="66A12941" w14:textId="77777777" w:rsidR="000F1A3F" w:rsidRDefault="000F1A3F" w:rsidP="000F1A3F">
      <w:pPr>
        <w:pBdr>
          <w:top w:val="double" w:sz="4" w:space="1" w:color="008000"/>
          <w:left w:val="double" w:sz="4" w:space="4" w:color="008000"/>
          <w:bottom w:val="double" w:sz="4" w:space="1" w:color="008000"/>
          <w:right w:val="double" w:sz="4" w:space="4" w:color="008000"/>
        </w:pBdr>
        <w:rPr>
          <w:vanish/>
          <w:color w:val="008000"/>
          <w:szCs w:val="20"/>
        </w:rPr>
      </w:pPr>
    </w:p>
    <w:p w14:paraId="4FB89D45" w14:textId="77777777" w:rsidR="000F1A3F" w:rsidRDefault="000F1A3F" w:rsidP="000F1A3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If you are not comfortable proposing new abbreviations, the "Proposed Abbreviations" can be omitted and the GTC will assign new abbreviations.</w:t>
      </w:r>
    </w:p>
    <w:p w14:paraId="7876472A" w14:textId="77777777" w:rsidR="000F1A3F" w:rsidRPr="00171BC7" w:rsidRDefault="000F1A3F" w:rsidP="000F1A3F"/>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Default="000F1A3F" w:rsidP="00E36D2B">
            <w:pPr>
              <w:jc w:val="center"/>
              <w:rPr>
                <w:b/>
              </w:rPr>
            </w:pPr>
            <w:r>
              <w:rPr>
                <w:b/>
              </w:rPr>
              <w:t>Term</w:t>
            </w:r>
          </w:p>
        </w:tc>
        <w:tc>
          <w:tcPr>
            <w:tcW w:w="2430" w:type="dxa"/>
            <w:tcBorders>
              <w:top w:val="double" w:sz="4" w:space="0" w:color="auto"/>
              <w:bottom w:val="double" w:sz="4" w:space="0" w:color="auto"/>
            </w:tcBorders>
            <w:shd w:val="clear" w:color="auto" w:fill="F3F3F3"/>
          </w:tcPr>
          <w:p w14:paraId="2E2F82C1" w14:textId="77777777" w:rsidR="000F1A3F" w:rsidRDefault="000F1A3F" w:rsidP="00E36D2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Default="000F1A3F" w:rsidP="00E36D2B">
            <w:pPr>
              <w:jc w:val="center"/>
              <w:rPr>
                <w:b/>
              </w:rPr>
            </w:pPr>
            <w:r>
              <w:rPr>
                <w:b/>
              </w:rPr>
              <w:t>Proposed Messages, Components, Fields where used</w:t>
            </w:r>
          </w:p>
        </w:tc>
      </w:tr>
      <w:tr w:rsidR="000F1A3F" w14:paraId="3B80BEC6" w14:textId="77777777" w:rsidTr="00E36D2B">
        <w:tc>
          <w:tcPr>
            <w:tcW w:w="2358" w:type="dxa"/>
            <w:tcBorders>
              <w:top w:val="double" w:sz="4" w:space="0" w:color="auto"/>
            </w:tcBorders>
          </w:tcPr>
          <w:p w14:paraId="794CED77" w14:textId="77777777" w:rsidR="000F1A3F" w:rsidRDefault="000F1A3F" w:rsidP="00E36D2B"/>
        </w:tc>
        <w:tc>
          <w:tcPr>
            <w:tcW w:w="2430" w:type="dxa"/>
            <w:tcBorders>
              <w:top w:val="double" w:sz="4" w:space="0" w:color="auto"/>
            </w:tcBorders>
          </w:tcPr>
          <w:p w14:paraId="173EF2A2" w14:textId="77777777" w:rsidR="000F1A3F" w:rsidRDefault="000F1A3F" w:rsidP="00E36D2B"/>
        </w:tc>
        <w:tc>
          <w:tcPr>
            <w:tcW w:w="4770" w:type="dxa"/>
            <w:tcBorders>
              <w:top w:val="double" w:sz="4" w:space="0" w:color="auto"/>
            </w:tcBorders>
          </w:tcPr>
          <w:p w14:paraId="64EEE2D4" w14:textId="77777777" w:rsidR="000F1A3F" w:rsidRDefault="000F1A3F" w:rsidP="00E36D2B"/>
        </w:tc>
      </w:tr>
      <w:tr w:rsidR="000F1A3F" w14:paraId="1B4DCCA5" w14:textId="77777777" w:rsidTr="00E36D2B">
        <w:tc>
          <w:tcPr>
            <w:tcW w:w="2358" w:type="dxa"/>
          </w:tcPr>
          <w:p w14:paraId="55239103" w14:textId="77777777" w:rsidR="000F1A3F" w:rsidRDefault="000F1A3F" w:rsidP="00E36D2B"/>
        </w:tc>
        <w:tc>
          <w:tcPr>
            <w:tcW w:w="2430" w:type="dxa"/>
          </w:tcPr>
          <w:p w14:paraId="507F0D2F" w14:textId="77777777" w:rsidR="000F1A3F" w:rsidRDefault="000F1A3F" w:rsidP="00E36D2B"/>
        </w:tc>
        <w:tc>
          <w:tcPr>
            <w:tcW w:w="4770" w:type="dxa"/>
          </w:tcPr>
          <w:p w14:paraId="3529AFE6" w14:textId="77777777" w:rsidR="000F1A3F" w:rsidRDefault="000F1A3F" w:rsidP="00E36D2B"/>
        </w:tc>
      </w:tr>
      <w:tr w:rsidR="000F1A3F" w14:paraId="43C5B82F" w14:textId="77777777" w:rsidTr="00E36D2B">
        <w:tc>
          <w:tcPr>
            <w:tcW w:w="2358" w:type="dxa"/>
          </w:tcPr>
          <w:p w14:paraId="12B0915D" w14:textId="77777777" w:rsidR="000F1A3F" w:rsidRDefault="000F1A3F" w:rsidP="00E36D2B"/>
        </w:tc>
        <w:tc>
          <w:tcPr>
            <w:tcW w:w="2430" w:type="dxa"/>
          </w:tcPr>
          <w:p w14:paraId="1AC551D6" w14:textId="77777777" w:rsidR="000F1A3F" w:rsidRDefault="000F1A3F" w:rsidP="00E36D2B"/>
        </w:tc>
        <w:tc>
          <w:tcPr>
            <w:tcW w:w="4770" w:type="dxa"/>
          </w:tcPr>
          <w:p w14:paraId="1EE1494C" w14:textId="77777777" w:rsidR="000F1A3F" w:rsidRDefault="000F1A3F" w:rsidP="00E36D2B"/>
        </w:tc>
      </w:tr>
      <w:tr w:rsidR="000F1A3F" w14:paraId="49D11208" w14:textId="77777777" w:rsidTr="00E36D2B">
        <w:tc>
          <w:tcPr>
            <w:tcW w:w="2358" w:type="dxa"/>
          </w:tcPr>
          <w:p w14:paraId="1337B92B" w14:textId="77777777" w:rsidR="000F1A3F" w:rsidRDefault="000F1A3F" w:rsidP="00E36D2B">
            <w:pPr>
              <w:rPr>
                <w:snapToGrid w:val="0"/>
              </w:rPr>
            </w:pPr>
          </w:p>
        </w:tc>
        <w:tc>
          <w:tcPr>
            <w:tcW w:w="2430" w:type="dxa"/>
          </w:tcPr>
          <w:p w14:paraId="5BC77525" w14:textId="77777777" w:rsidR="000F1A3F" w:rsidRDefault="000F1A3F" w:rsidP="00E36D2B"/>
        </w:tc>
        <w:tc>
          <w:tcPr>
            <w:tcW w:w="4770" w:type="dxa"/>
          </w:tcPr>
          <w:p w14:paraId="0DE5F412" w14:textId="77777777" w:rsidR="000F1A3F" w:rsidRDefault="000F1A3F" w:rsidP="00E36D2B"/>
        </w:tc>
      </w:tr>
    </w:tbl>
    <w:p w14:paraId="74AD9F49" w14:textId="77777777" w:rsidR="000F1A3F" w:rsidRDefault="000F1A3F" w:rsidP="000F1A3F">
      <w:pPr>
        <w:pStyle w:val="BodyText"/>
      </w:pPr>
    </w:p>
    <w:p w14:paraId="43C4A051" w14:textId="77777777" w:rsidR="000F1A3F" w:rsidRDefault="000F1A3F" w:rsidP="000F1A3F">
      <w:pPr>
        <w:pStyle w:val="Heading1"/>
        <w:numPr>
          <w:ilvl w:val="0"/>
          <w:numId w:val="0"/>
        </w:numPr>
      </w:pPr>
      <w:bookmarkStart w:id="30" w:name="_Toc345162692"/>
      <w:bookmarkStart w:id="31" w:name="_Toc19023319"/>
      <w:r>
        <w:t>Appendix D - Usage Examples</w:t>
      </w:r>
      <w:bookmarkEnd w:id="30"/>
      <w:bookmarkEnd w:id="31"/>
    </w:p>
    <w:p w14:paraId="6947135F" w14:textId="77777777" w:rsidR="000F1A3F" w:rsidRPr="003704FE" w:rsidRDefault="000F1A3F" w:rsidP="000F1A3F">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Pr>
          <w:vanish/>
          <w:color w:val="008000"/>
          <w:szCs w:val="20"/>
        </w:rPr>
        <w:t>ese examples</w:t>
      </w:r>
      <w:r w:rsidRPr="003704FE">
        <w:rPr>
          <w:vanish/>
          <w:color w:val="008000"/>
          <w:szCs w:val="20"/>
        </w:rPr>
        <w:t xml:space="preserve"> </w:t>
      </w:r>
      <w:r>
        <w:rPr>
          <w:vanish/>
          <w:color w:val="008000"/>
          <w:szCs w:val="20"/>
        </w:rPr>
        <w:t>are</w:t>
      </w:r>
      <w:r w:rsidRPr="003704FE">
        <w:rPr>
          <w:vanish/>
          <w:color w:val="008000"/>
          <w:szCs w:val="20"/>
        </w:rPr>
        <w:t xml:space="preserve"> useful for illustrating usage</w:t>
      </w:r>
      <w:r>
        <w:rPr>
          <w:vanish/>
          <w:color w:val="008000"/>
          <w:szCs w:val="20"/>
        </w:rPr>
        <w:t xml:space="preserve"> or</w:t>
      </w:r>
      <w:r w:rsidRPr="003704FE">
        <w:rPr>
          <w:vanish/>
          <w:color w:val="008000"/>
          <w:szCs w:val="20"/>
        </w:rPr>
        <w:t xml:space="preserve"> rules specific to the business domain covered in the proposal.</w:t>
      </w:r>
    </w:p>
    <w:p w14:paraId="47E82D8B" w14:textId="28A7298D" w:rsidR="000F1A3F" w:rsidRDefault="000F1A3F" w:rsidP="000B1019">
      <w:pPr>
        <w:pStyle w:val="BodyText"/>
      </w:pPr>
    </w:p>
    <w:p w14:paraId="2FF1D08E" w14:textId="67D81F66" w:rsidR="006F1D63" w:rsidRDefault="006F1D63" w:rsidP="00A60C32">
      <w:pPr>
        <w:pStyle w:val="Heading1"/>
        <w:numPr>
          <w:ilvl w:val="0"/>
          <w:numId w:val="0"/>
        </w:numPr>
      </w:pPr>
      <w:bookmarkStart w:id="32" w:name="_Toc19023320"/>
      <w:r>
        <w:t xml:space="preserve">Appendix E – </w:t>
      </w:r>
      <w:r w:rsidR="0010724F">
        <w:t xml:space="preserve">Disposition of </w:t>
      </w:r>
      <w:r>
        <w:t>Public Comments</w:t>
      </w:r>
      <w:bookmarkEnd w:id="32"/>
    </w:p>
    <w:p w14:paraId="0C7D8DE4" w14:textId="10F51C7B" w:rsidR="006F1D63" w:rsidRPr="003704FE" w:rsidRDefault="006F1D63" w:rsidP="006F1D63">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provide</w:t>
      </w:r>
      <w:r>
        <w:rPr>
          <w:vanish/>
          <w:color w:val="008000"/>
          <w:szCs w:val="20"/>
        </w:rPr>
        <w:t>s the resolution to issues raised during the public review period.</w:t>
      </w:r>
    </w:p>
    <w:p w14:paraId="53187CE3" w14:textId="5857D4D8" w:rsidR="006F1D63" w:rsidRDefault="0010724F" w:rsidP="000B1019">
      <w:pPr>
        <w:pStyle w:val="BodyText"/>
      </w:pPr>
      <w:r>
        <w:t>Public comments from Marc Tortorello, &lt;company&gt;:</w:t>
      </w:r>
    </w:p>
    <w:p w14:paraId="5E0A8E36" w14:textId="0DB8147D" w:rsidR="0010724F" w:rsidRDefault="0010724F" w:rsidP="0010724F">
      <w:pPr>
        <w:pStyle w:val="BodyText"/>
      </w:pPr>
      <w:r>
        <w:t>Thank you for the opportunity to comment on the Liquidity Indicator Extension Proposal.</w:t>
      </w:r>
    </w:p>
    <w:p w14:paraId="55FE953E" w14:textId="450A6634" w:rsidR="0010724F" w:rsidRDefault="0010724F" w:rsidP="00A60C32">
      <w:pPr>
        <w:pStyle w:val="BodyText"/>
        <w:numPr>
          <w:ilvl w:val="0"/>
          <w:numId w:val="14"/>
        </w:numPr>
      </w:pPr>
      <w:r>
        <w:t xml:space="preserve">I assume, in the U.S., the proposed ‘Neither Added nor Removed Liquidity (and no other values apply)’ value would include both executions generated from conditional orders and some executions that are not generated from conditional orders. We believe identifying conditional executions separately with a unique value provides meaningful information. Would it be possible to add a ‘Conditional’ FIX value solely for conditional executions? Section 3.2 states it would be difficult to identify each scenario that involves neither providing nor removing </w:t>
      </w:r>
      <w:proofErr w:type="gramStart"/>
      <w:r>
        <w:t>liquidity</w:t>
      </w:r>
      <w:proofErr w:type="gramEnd"/>
      <w:r>
        <w:t xml:space="preserve"> but conditionals are a very common scenario and a significant portion of activity on some venues. In addition, after looking at our data and speaking to brokers, ‘8’ seems to be the industry standard value to report an execution generated from a conditional order in the U.S. although it is a non-standard FIX value.</w:t>
      </w:r>
      <w:r>
        <w:br/>
      </w:r>
      <w:r>
        <w:br/>
      </w:r>
      <w:r w:rsidRPr="00A60C32">
        <w:rPr>
          <w:b/>
          <w:bCs/>
        </w:rPr>
        <w:t>Resolution</w:t>
      </w:r>
      <w:r>
        <w:t xml:space="preserve">: </w:t>
      </w:r>
      <w:r w:rsidR="00580182">
        <w:t xml:space="preserve">The semantic focus of </w:t>
      </w:r>
      <w:proofErr w:type="spellStart"/>
      <w:r w:rsidR="00580182">
        <w:t>LiquidityIndicator</w:t>
      </w:r>
      <w:proofErr w:type="spellEnd"/>
      <w:r w:rsidR="00580182">
        <w:t>(851) is on the assessment of liquidity in general and for specific use cases. The use case where liquidity is neither added nor removed should only exist once and be agnostic of the type of order being executed</w:t>
      </w:r>
      <w:r w:rsidR="008C24F4">
        <w:t xml:space="preserve"> or the type of execution</w:t>
      </w:r>
      <w:r w:rsidR="00580182">
        <w:t>. The distinction between conditional and other types of orders is useful when it is about removing or adding liquidity. These use cases have been addressed with the two new values (see also the resolution of the next bullet).</w:t>
      </w:r>
      <w:r w:rsidR="00B60388">
        <w:br/>
      </w:r>
      <w:r w:rsidR="00B60388">
        <w:br/>
      </w:r>
      <w:r w:rsidR="00B60388" w:rsidRPr="00A60C32">
        <w:rPr>
          <w:b/>
          <w:bCs/>
        </w:rPr>
        <w:t>Action</w:t>
      </w:r>
      <w:r w:rsidR="00B60388">
        <w:t>: None</w:t>
      </w:r>
    </w:p>
    <w:p w14:paraId="22B04D62" w14:textId="77777777" w:rsidR="0010724F" w:rsidRDefault="0010724F" w:rsidP="0010724F">
      <w:pPr>
        <w:pStyle w:val="BodyText"/>
      </w:pPr>
    </w:p>
    <w:p w14:paraId="6095649E" w14:textId="1A857538" w:rsidR="0010724F" w:rsidRDefault="0010724F" w:rsidP="00A60C32">
      <w:pPr>
        <w:pStyle w:val="BodyText"/>
        <w:numPr>
          <w:ilvl w:val="0"/>
          <w:numId w:val="14"/>
        </w:numPr>
      </w:pPr>
      <w:r>
        <w:t>Section 2.2 indicates ‘8’ may be used for ‘Removed liquidity after firm order commitment’ but, as mentioned above, ‘8’ is being used in a non-standard way by many brokers in the U.S. to report executions generated from conditional orders.</w:t>
      </w:r>
      <w:r w:rsidR="00580182">
        <w:t xml:space="preserve"> </w:t>
      </w:r>
      <w:r>
        <w:t>This dual usage is further motivation to create a standard unique value for executions generated from conditional orders.</w:t>
      </w:r>
      <w:r>
        <w:br/>
      </w:r>
      <w:r>
        <w:br/>
      </w:r>
      <w:r w:rsidRPr="000955A5">
        <w:rPr>
          <w:b/>
          <w:bCs/>
        </w:rPr>
        <w:t>Resolution</w:t>
      </w:r>
      <w:r>
        <w:t xml:space="preserve">: </w:t>
      </w:r>
      <w:r w:rsidRPr="0010724F">
        <w:t>The generic term “firm order commitment” was used for the FIX standard to express the fact that immediate matching does not occur but requires further interaction between the order submitter and the venue. This is intended to include “conditional orders”, i.e. there is no difference in semantics, just wording. The purpose of the proposal was to acknowledge the existing usage of the non-standard values 8 and 9 and add them to the standard in a generic way. Implementations may differ in the way an order is confirmed, e.g. by sending in a normal order with a reference to a conditional order or resending the original order with a confirmation indicator.</w:t>
      </w:r>
      <w:r w:rsidR="00B60388">
        <w:br/>
      </w:r>
      <w:r w:rsidR="00B60388">
        <w:br/>
      </w:r>
      <w:r w:rsidR="00B60388" w:rsidRPr="00A60C32">
        <w:rPr>
          <w:b/>
          <w:bCs/>
        </w:rPr>
        <w:t>Action</w:t>
      </w:r>
      <w:r w:rsidR="00B60388">
        <w:t>: Add the term “conditional order” to the elaboration as an example for an alternate term for an order requiring a firm order commitment.</w:t>
      </w:r>
    </w:p>
    <w:p w14:paraId="5E41EE31" w14:textId="77777777" w:rsidR="0010724F" w:rsidRDefault="0010724F" w:rsidP="0010724F">
      <w:pPr>
        <w:pStyle w:val="BodyText"/>
      </w:pPr>
    </w:p>
    <w:p w14:paraId="3C8D3ABC" w14:textId="06DCE570" w:rsidR="0010724F" w:rsidRDefault="0010724F" w:rsidP="00A60C32">
      <w:pPr>
        <w:pStyle w:val="BodyText"/>
        <w:numPr>
          <w:ilvl w:val="0"/>
          <w:numId w:val="14"/>
        </w:numPr>
      </w:pPr>
      <w:r>
        <w:t>We suggest using a value other than ‘0’ for ‘Neither Added nor Removed Liquidity (and no other values apply)’. In our data, ‘0’ is one of the most-received invalid values and including a valid ‘0’ value may lead to misreporting.</w:t>
      </w:r>
      <w:r>
        <w:br/>
      </w:r>
      <w:r>
        <w:br/>
      </w:r>
      <w:r w:rsidRPr="000955A5">
        <w:rPr>
          <w:b/>
          <w:bCs/>
        </w:rPr>
        <w:t>Resolution</w:t>
      </w:r>
      <w:r>
        <w:t xml:space="preserve">: </w:t>
      </w:r>
      <w:r w:rsidR="00B60388">
        <w:t>FIX uses the value ‘0’ for many valid value lists. Valid value lists for new FIX fields are started with ‘0’ since quite some time now and there have never been any issued raised by the FIX community so far. ‘0’ should not be used to indicate an empty number field. The FIX tag=value encoding foresees the omission of a field in the wire format whenever it is empty of ‘null’.</w:t>
      </w:r>
      <w:r w:rsidR="00503B33">
        <w:br/>
      </w:r>
      <w:r w:rsidR="00503B33">
        <w:br/>
      </w:r>
      <w:r w:rsidR="00503B33" w:rsidRPr="00A60C32">
        <w:rPr>
          <w:b/>
          <w:bCs/>
        </w:rPr>
        <w:t>Action</w:t>
      </w:r>
      <w:r w:rsidR="00503B33">
        <w:t>: None</w:t>
      </w:r>
    </w:p>
    <w:p w14:paraId="24698A33" w14:textId="77777777" w:rsidR="0010724F" w:rsidRDefault="0010724F" w:rsidP="000B1019">
      <w:pPr>
        <w:pStyle w:val="BodyText"/>
      </w:pPr>
    </w:p>
    <w:p w14:paraId="3EA16149" w14:textId="501E11FF" w:rsidR="006F1D63" w:rsidRDefault="006F1D63" w:rsidP="000B1019">
      <w:pPr>
        <w:pStyle w:val="BodyText"/>
      </w:pPr>
    </w:p>
    <w:p w14:paraId="2CA553BB" w14:textId="77777777" w:rsidR="006F1D63" w:rsidRDefault="006F1D63" w:rsidP="000B1019">
      <w:pPr>
        <w:pStyle w:val="BodyText"/>
      </w:pPr>
    </w:p>
    <w:sectPr w:rsidR="006F1D63" w:rsidSect="00142D98">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95BA" w14:textId="77777777" w:rsidR="006E02A3" w:rsidRDefault="006E02A3">
      <w:r>
        <w:separator/>
      </w:r>
    </w:p>
  </w:endnote>
  <w:endnote w:type="continuationSeparator" w:id="0">
    <w:p w14:paraId="5C494370" w14:textId="77777777" w:rsidR="006E02A3" w:rsidRDefault="006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77777777" w:rsidR="006D13FA" w:rsidRPr="005D628B" w:rsidRDefault="006D13FA"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6D13FA" w14:paraId="4DEECDA3" w14:textId="77777777" w:rsidTr="00414EBB">
      <w:tc>
        <w:tcPr>
          <w:tcW w:w="2340" w:type="dxa"/>
        </w:tcPr>
        <w:p w14:paraId="05E96D1E" w14:textId="77777777" w:rsidR="006D13FA" w:rsidRDefault="006D13FA" w:rsidP="00414EBB">
          <w:pPr>
            <w:pStyle w:val="Footer"/>
            <w:tabs>
              <w:tab w:val="clear" w:pos="8640"/>
              <w:tab w:val="right" w:pos="9360"/>
            </w:tabs>
            <w:jc w:val="right"/>
          </w:pPr>
          <w:r>
            <w:t>Submission Date</w:t>
          </w:r>
        </w:p>
      </w:tc>
      <w:tc>
        <w:tcPr>
          <w:tcW w:w="2340" w:type="dxa"/>
        </w:tcPr>
        <w:p w14:paraId="670BDA95" w14:textId="3E30D35D" w:rsidR="006D13FA" w:rsidRDefault="006D13FA" w:rsidP="00414EBB">
          <w:pPr>
            <w:pStyle w:val="Footer"/>
            <w:tabs>
              <w:tab w:val="clear" w:pos="8640"/>
              <w:tab w:val="right" w:pos="9360"/>
            </w:tabs>
          </w:pPr>
        </w:p>
      </w:tc>
      <w:tc>
        <w:tcPr>
          <w:tcW w:w="1890" w:type="dxa"/>
        </w:tcPr>
        <w:p w14:paraId="4CCD794B" w14:textId="77777777" w:rsidR="006D13FA" w:rsidRDefault="006D13FA" w:rsidP="00414EBB">
          <w:pPr>
            <w:pStyle w:val="Footer"/>
            <w:tabs>
              <w:tab w:val="clear" w:pos="4320"/>
              <w:tab w:val="clear" w:pos="8640"/>
              <w:tab w:val="right" w:pos="9360"/>
            </w:tabs>
            <w:jc w:val="right"/>
          </w:pPr>
          <w:r>
            <w:t>Control Number</w:t>
          </w:r>
        </w:p>
      </w:tc>
      <w:tc>
        <w:tcPr>
          <w:tcW w:w="2790" w:type="dxa"/>
        </w:tcPr>
        <w:p w14:paraId="01B3130F" w14:textId="77777777" w:rsidR="006D13FA" w:rsidRDefault="006D13FA" w:rsidP="00414EBB">
          <w:pPr>
            <w:pStyle w:val="Footer"/>
            <w:tabs>
              <w:tab w:val="clear" w:pos="4320"/>
              <w:tab w:val="clear" w:pos="8640"/>
              <w:tab w:val="center" w:pos="-11268"/>
              <w:tab w:val="right" w:pos="9360"/>
            </w:tabs>
          </w:pPr>
        </w:p>
      </w:tc>
    </w:tr>
    <w:tr w:rsidR="006D13FA" w14:paraId="4A9FF2E1" w14:textId="77777777" w:rsidTr="00414EBB">
      <w:tc>
        <w:tcPr>
          <w:tcW w:w="2340" w:type="dxa"/>
        </w:tcPr>
        <w:p w14:paraId="5D53BFFB" w14:textId="77777777" w:rsidR="006D13FA" w:rsidRDefault="006D13FA" w:rsidP="00414EBB">
          <w:pPr>
            <w:pStyle w:val="Footer"/>
            <w:tabs>
              <w:tab w:val="clear" w:pos="8640"/>
              <w:tab w:val="right" w:pos="9360"/>
            </w:tabs>
            <w:jc w:val="right"/>
          </w:pPr>
          <w:r>
            <w:t>Submission Status</w:t>
          </w:r>
        </w:p>
      </w:tc>
      <w:tc>
        <w:tcPr>
          <w:tcW w:w="2340" w:type="dxa"/>
        </w:tcPr>
        <w:p w14:paraId="70F8E1E3" w14:textId="0B2FA746" w:rsidR="006D13FA" w:rsidRDefault="006D13FA" w:rsidP="00414EBB">
          <w:pPr>
            <w:pStyle w:val="Footer"/>
            <w:tabs>
              <w:tab w:val="clear" w:pos="8640"/>
              <w:tab w:val="right" w:pos="9360"/>
            </w:tabs>
          </w:pPr>
        </w:p>
      </w:tc>
      <w:tc>
        <w:tcPr>
          <w:tcW w:w="1890" w:type="dxa"/>
        </w:tcPr>
        <w:p w14:paraId="16FEBC46" w14:textId="77777777" w:rsidR="006D13FA" w:rsidRDefault="006D13FA" w:rsidP="00414EBB">
          <w:pPr>
            <w:pStyle w:val="Footer"/>
            <w:tabs>
              <w:tab w:val="clear" w:pos="8640"/>
              <w:tab w:val="right" w:pos="9360"/>
            </w:tabs>
            <w:jc w:val="right"/>
          </w:pPr>
          <w:r>
            <w:t>Ratified Date</w:t>
          </w:r>
        </w:p>
      </w:tc>
      <w:tc>
        <w:tcPr>
          <w:tcW w:w="2790" w:type="dxa"/>
        </w:tcPr>
        <w:p w14:paraId="4589982E" w14:textId="77777777" w:rsidR="006D13FA" w:rsidRDefault="006D13FA" w:rsidP="00414EBB">
          <w:pPr>
            <w:pStyle w:val="Footer"/>
            <w:tabs>
              <w:tab w:val="clear" w:pos="8640"/>
              <w:tab w:val="right" w:pos="9360"/>
            </w:tabs>
          </w:pPr>
        </w:p>
      </w:tc>
    </w:tr>
    <w:tr w:rsidR="006D13FA" w14:paraId="71C5F345" w14:textId="77777777" w:rsidTr="00414EBB">
      <w:tc>
        <w:tcPr>
          <w:tcW w:w="2340" w:type="dxa"/>
        </w:tcPr>
        <w:p w14:paraId="7535773B" w14:textId="77777777" w:rsidR="006D13FA" w:rsidRDefault="006D13FA" w:rsidP="00414EBB">
          <w:pPr>
            <w:pStyle w:val="Footer"/>
            <w:tabs>
              <w:tab w:val="clear" w:pos="8640"/>
              <w:tab w:val="right" w:pos="9360"/>
            </w:tabs>
            <w:jc w:val="right"/>
          </w:pPr>
          <w:r>
            <w:t>Primary Contact Person</w:t>
          </w:r>
        </w:p>
      </w:tc>
      <w:tc>
        <w:tcPr>
          <w:tcW w:w="2340" w:type="dxa"/>
        </w:tcPr>
        <w:p w14:paraId="1F2BF5F1" w14:textId="13FFAC58" w:rsidR="006D13FA" w:rsidRDefault="006D13FA" w:rsidP="00414EBB">
          <w:pPr>
            <w:pStyle w:val="Footer"/>
            <w:tabs>
              <w:tab w:val="clear" w:pos="8640"/>
              <w:tab w:val="right" w:pos="9360"/>
            </w:tabs>
          </w:pPr>
        </w:p>
      </w:tc>
      <w:tc>
        <w:tcPr>
          <w:tcW w:w="1890" w:type="dxa"/>
        </w:tcPr>
        <w:p w14:paraId="7486DA6A" w14:textId="77777777" w:rsidR="006D13FA" w:rsidRDefault="006D13FA" w:rsidP="00414EBB">
          <w:pPr>
            <w:pStyle w:val="Footer"/>
            <w:tabs>
              <w:tab w:val="clear" w:pos="8640"/>
              <w:tab w:val="right" w:pos="9360"/>
            </w:tabs>
            <w:jc w:val="right"/>
          </w:pPr>
          <w:r>
            <w:t>Release Identifier</w:t>
          </w:r>
        </w:p>
      </w:tc>
      <w:tc>
        <w:tcPr>
          <w:tcW w:w="2790" w:type="dxa"/>
        </w:tcPr>
        <w:p w14:paraId="747619BA" w14:textId="77777777" w:rsidR="006D13FA" w:rsidRDefault="006D13FA" w:rsidP="00414EBB">
          <w:pPr>
            <w:pStyle w:val="Footer"/>
            <w:tabs>
              <w:tab w:val="clear" w:pos="8640"/>
              <w:tab w:val="right" w:pos="9360"/>
            </w:tabs>
          </w:pPr>
        </w:p>
      </w:tc>
    </w:tr>
  </w:tbl>
  <w:p w14:paraId="5212A443" w14:textId="77777777" w:rsidR="006D13FA" w:rsidRDefault="006D13FA" w:rsidP="008F72BB">
    <w:pPr>
      <w:pStyle w:val="Footer"/>
      <w:tabs>
        <w:tab w:val="clear" w:pos="8640"/>
        <w:tab w:val="right" w:pos="9360"/>
      </w:tabs>
    </w:pPr>
  </w:p>
  <w:p w14:paraId="30348478" w14:textId="3B48567F" w:rsidR="006D13FA" w:rsidRDefault="006D13FA" w:rsidP="005D628B">
    <w:pPr>
      <w:pStyle w:val="Footer"/>
      <w:tabs>
        <w:tab w:val="clear" w:pos="8640"/>
        <w:tab w:val="right" w:pos="9360"/>
      </w:tabs>
    </w:pPr>
    <w:r>
      <w:sym w:font="Symbol" w:char="F0D3"/>
    </w:r>
    <w:r>
      <w:t xml:space="preserve"> Copyright, 2011-2019, FIX Protocol, Limited</w:t>
    </w:r>
  </w:p>
  <w:p w14:paraId="69CAB92C" w14:textId="24817EEC" w:rsidR="006D13FA" w:rsidRPr="00DD44E0" w:rsidRDefault="006D13FA"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69E04D41" w:rsidR="006D13FA" w:rsidRDefault="006D13FA">
    <w:pPr>
      <w:pStyle w:val="Footer"/>
      <w:pBdr>
        <w:top w:val="single" w:sz="4" w:space="1" w:color="auto"/>
      </w:pBdr>
      <w:tabs>
        <w:tab w:val="clear" w:pos="8640"/>
        <w:tab w:val="right" w:pos="9360"/>
      </w:tabs>
    </w:pPr>
    <w:r>
      <w:sym w:font="Symbol" w:char="F0D3"/>
    </w:r>
    <w:r>
      <w:t xml:space="preserve"> Copyright, 2019, FIX Protocol, Limited</w:t>
    </w:r>
    <w:r>
      <w:tab/>
    </w:r>
    <w:r>
      <w:tab/>
      <w:t xml:space="preserve">Page </w:t>
    </w:r>
    <w:r>
      <w:fldChar w:fldCharType="begin"/>
    </w:r>
    <w:r>
      <w:instrText xml:space="preserve"> PAGE </w:instrText>
    </w:r>
    <w:r>
      <w:fldChar w:fldCharType="separate"/>
    </w:r>
    <w:r>
      <w:rPr>
        <w:noProof/>
      </w:rPr>
      <w:t>8</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766B93C5" w14:textId="63E582BC" w:rsidR="006D13FA" w:rsidRPr="00DD44E0" w:rsidRDefault="006D13FA"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5905" w14:textId="7FB127CE" w:rsidR="006D13FA" w:rsidRDefault="006D13FA" w:rsidP="0056368C">
    <w:pPr>
      <w:pStyle w:val="Footer"/>
      <w:pBdr>
        <w:top w:val="single" w:sz="4" w:space="1" w:color="auto"/>
      </w:pBdr>
      <w:tabs>
        <w:tab w:val="clear" w:pos="4320"/>
        <w:tab w:val="clear" w:pos="8640"/>
        <w:tab w:val="right" w:pos="13041"/>
      </w:tabs>
    </w:pPr>
    <w:r>
      <w:sym w:font="Symbol" w:char="F0D3"/>
    </w:r>
    <w:r>
      <w:t xml:space="preserve"> Copyright, 2019, FIX Protocol, Limited</w:t>
    </w:r>
    <w:r>
      <w:tab/>
      <w:t xml:space="preserve">Page </w:t>
    </w:r>
    <w:r>
      <w:fldChar w:fldCharType="begin"/>
    </w:r>
    <w:r>
      <w:instrText xml:space="preserve"> PAGE </w:instrText>
    </w:r>
    <w:r>
      <w:fldChar w:fldCharType="separate"/>
    </w:r>
    <w:r>
      <w:rPr>
        <w:noProof/>
      </w:rPr>
      <w:t>10</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661AC48B" w14:textId="77777777" w:rsidR="006D13FA" w:rsidRPr="00DD44E0" w:rsidRDefault="006D13FA"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98D5" w14:textId="520A3081" w:rsidR="006D13FA" w:rsidRDefault="006D13FA">
    <w:pPr>
      <w:pStyle w:val="Footer"/>
      <w:pBdr>
        <w:top w:val="single" w:sz="4" w:space="1" w:color="auto"/>
      </w:pBdr>
      <w:tabs>
        <w:tab w:val="clear" w:pos="8640"/>
        <w:tab w:val="right" w:pos="9360"/>
      </w:tabs>
    </w:pPr>
    <w:r>
      <w:sym w:font="Symbol" w:char="F0D3"/>
    </w:r>
    <w:r>
      <w:t xml:space="preserve"> Copyright, 2019, FIX Protocol, Limited</w:t>
    </w:r>
    <w:r>
      <w:tab/>
    </w:r>
    <w:r>
      <w:tab/>
      <w:t xml:space="preserve">Page </w:t>
    </w:r>
    <w:r>
      <w:fldChar w:fldCharType="begin"/>
    </w:r>
    <w:r>
      <w:instrText xml:space="preserve"> PAGE </w:instrText>
    </w:r>
    <w:r>
      <w:fldChar w:fldCharType="separate"/>
    </w:r>
    <w:r>
      <w:rPr>
        <w:noProof/>
      </w:rPr>
      <w:t>11</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5D0C1831" w14:textId="77777777" w:rsidR="006D13FA" w:rsidRPr="00DD44E0" w:rsidRDefault="006D13FA"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6525" w14:textId="77777777" w:rsidR="006E02A3" w:rsidRDefault="006E02A3">
      <w:r>
        <w:separator/>
      </w:r>
    </w:p>
  </w:footnote>
  <w:footnote w:type="continuationSeparator" w:id="0">
    <w:p w14:paraId="266654B2" w14:textId="77777777" w:rsidR="006E02A3" w:rsidRDefault="006E02A3">
      <w:r>
        <w:continuationSeparator/>
      </w:r>
    </w:p>
  </w:footnote>
  <w:footnote w:id="1">
    <w:p w14:paraId="3E28B877" w14:textId="76E325C9" w:rsidR="006D13FA" w:rsidRPr="003D242B" w:rsidRDefault="006D13FA">
      <w:pPr>
        <w:pStyle w:val="FootnoteText"/>
      </w:pPr>
      <w:r>
        <w:rPr>
          <w:rStyle w:val="FootnoteReference"/>
        </w:rPr>
        <w:footnoteRef/>
      </w:r>
      <w:r>
        <w:t xml:space="preserve"> </w:t>
      </w:r>
      <w:r w:rsidRPr="003D242B">
        <w:t>We propose to use a value of ze</w:t>
      </w:r>
      <w:r>
        <w:t>ro (0) as it seems to be a good fit for the intended semantics.</w:t>
      </w:r>
    </w:p>
  </w:footnote>
  <w:footnote w:id="2">
    <w:p w14:paraId="78BCAF29" w14:textId="77777777" w:rsidR="006D13FA" w:rsidRPr="002367E1" w:rsidRDefault="006D13FA" w:rsidP="007310E9">
      <w:pPr>
        <w:pStyle w:val="FootnoteText"/>
      </w:pPr>
      <w:r>
        <w:rPr>
          <w:rStyle w:val="FootnoteReference"/>
        </w:rPr>
        <w:footnoteRef/>
      </w:r>
      <w:r>
        <w:t xml:space="preserve"> </w:t>
      </w:r>
      <w:r w:rsidRPr="003D242B">
        <w:t xml:space="preserve">We propose to use a value of </w:t>
      </w:r>
      <w:r>
        <w:t>eight (8) to avoid breaking existing implementations</w:t>
      </w:r>
    </w:p>
  </w:footnote>
  <w:footnote w:id="3">
    <w:p w14:paraId="7998B1F3" w14:textId="77777777" w:rsidR="006D13FA" w:rsidRPr="002367E1" w:rsidRDefault="006D13FA" w:rsidP="007310E9">
      <w:pPr>
        <w:pStyle w:val="FootnoteText"/>
      </w:pPr>
      <w:r>
        <w:rPr>
          <w:rStyle w:val="FootnoteReference"/>
        </w:rPr>
        <w:footnoteRef/>
      </w:r>
      <w:r>
        <w:t xml:space="preserve"> </w:t>
      </w:r>
      <w:r w:rsidRPr="003D242B">
        <w:t xml:space="preserve">We propose to use a value of </w:t>
      </w:r>
      <w:r>
        <w:t>nine (9) to avoid breaking existing implementations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6D13FA" w:rsidRDefault="006D13FA"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0292" w14:textId="58A7DE1D" w:rsidR="006D13FA" w:rsidRPr="00B7611D" w:rsidRDefault="006D13FA" w:rsidP="00D873DF">
    <w:pPr>
      <w:rPr>
        <w:szCs w:val="22"/>
      </w:rPr>
    </w:pPr>
    <w:r w:rsidRPr="00B7611D">
      <w:rPr>
        <w:szCs w:val="22"/>
      </w:rPr>
      <w:fldChar w:fldCharType="begin"/>
    </w:r>
    <w:r w:rsidRPr="007C1690">
      <w:rPr>
        <w:szCs w:val="22"/>
      </w:rPr>
      <w:instrText xml:space="preserve"> REF DocTitle \h  \* MERGEFORMAT </w:instrText>
    </w:r>
    <w:r w:rsidRPr="00B7611D">
      <w:rPr>
        <w:szCs w:val="22"/>
      </w:rPr>
    </w:r>
    <w:r w:rsidRPr="00B7611D">
      <w:rPr>
        <w:szCs w:val="22"/>
      </w:rPr>
      <w:fldChar w:fldCharType="separate"/>
    </w:r>
    <w:r w:rsidR="00285889" w:rsidRPr="00A60C32">
      <w:rPr>
        <w:szCs w:val="22"/>
      </w:rPr>
      <w:t>Liquidity Indicator Extension Proposal</w:t>
    </w:r>
    <w:r w:rsidRPr="00B7611D">
      <w:rPr>
        <w:szCs w:val="22"/>
      </w:rPr>
      <w:fldChar w:fldCharType="end"/>
    </w:r>
  </w:p>
  <w:p w14:paraId="4FB9EBC4" w14:textId="132D456D" w:rsidR="006D13FA" w:rsidRPr="00313EC3" w:rsidRDefault="006D13FA" w:rsidP="00366313">
    <w:pPr>
      <w:pBdr>
        <w:bottom w:val="single" w:sz="4" w:space="1" w:color="auto"/>
      </w:pBdr>
      <w:tabs>
        <w:tab w:val="right" w:pos="9356"/>
      </w:tabs>
      <w:spacing w:after="240"/>
      <w:ind w:right="6"/>
      <w:rPr>
        <w:sz w:val="24"/>
      </w:rPr>
    </w:pPr>
    <w:r>
      <w:rPr>
        <w:noProof/>
        <w:szCs w:val="20"/>
      </w:rPr>
      <w:fldChar w:fldCharType="begin"/>
    </w:r>
    <w:r>
      <w:rPr>
        <w:noProof/>
        <w:szCs w:val="20"/>
      </w:rPr>
      <w:instrText xml:space="preserve"> FILENAME   \* MERGEFORMAT </w:instrText>
    </w:r>
    <w:r>
      <w:rPr>
        <w:noProof/>
        <w:szCs w:val="20"/>
      </w:rPr>
      <w:fldChar w:fldCharType="separate"/>
    </w:r>
    <w:r w:rsidR="00285889">
      <w:rPr>
        <w:noProof/>
        <w:szCs w:val="20"/>
      </w:rPr>
      <w:t>FIX Protocol Gap Analysis - Liquidity Indicator v0.5_changetracked.docx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285889" w:rsidRPr="00A60C32">
      <w:rPr>
        <w:szCs w:val="20"/>
      </w:rPr>
      <w:t>September 10, 2019</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285889" w:rsidRPr="00A60C32">
      <w:rPr>
        <w:szCs w:val="20"/>
      </w:rPr>
      <w:t>Revision 0.5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2F44" w14:textId="4ACD2384" w:rsidR="006D13FA" w:rsidRPr="00B7611D" w:rsidRDefault="006D13FA" w:rsidP="00D873DF">
    <w:pPr>
      <w:rPr>
        <w:szCs w:val="22"/>
      </w:rPr>
    </w:pPr>
    <w:r w:rsidRPr="00B7611D">
      <w:rPr>
        <w:szCs w:val="22"/>
      </w:rPr>
      <w:fldChar w:fldCharType="begin"/>
    </w:r>
    <w:r w:rsidRPr="00E04F04">
      <w:rPr>
        <w:szCs w:val="22"/>
      </w:rPr>
      <w:instrText xml:space="preserve"> REF DocTitle \h  \* MERGEFORMAT </w:instrText>
    </w:r>
    <w:r w:rsidRPr="00B7611D">
      <w:rPr>
        <w:szCs w:val="22"/>
      </w:rPr>
    </w:r>
    <w:r w:rsidRPr="00B7611D">
      <w:rPr>
        <w:szCs w:val="22"/>
      </w:rPr>
      <w:fldChar w:fldCharType="separate"/>
    </w:r>
    <w:r w:rsidR="00285889" w:rsidRPr="00A60C32">
      <w:rPr>
        <w:szCs w:val="22"/>
      </w:rPr>
      <w:t>Liquidity Indicator Extension Proposal</w:t>
    </w:r>
    <w:r w:rsidRPr="00B7611D">
      <w:rPr>
        <w:szCs w:val="22"/>
      </w:rPr>
      <w:fldChar w:fldCharType="end"/>
    </w:r>
  </w:p>
  <w:p w14:paraId="59CE0BC4" w14:textId="4E064A46" w:rsidR="006D13FA" w:rsidRPr="008041F3" w:rsidRDefault="006D13FA" w:rsidP="0056368C">
    <w:pPr>
      <w:pBdr>
        <w:bottom w:val="single" w:sz="4" w:space="1" w:color="auto"/>
      </w:pBdr>
      <w:tabs>
        <w:tab w:val="right" w:pos="13041"/>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285889">
      <w:rPr>
        <w:noProof/>
        <w:szCs w:val="20"/>
      </w:rPr>
      <w:t>FIX Protocol Gap Analysis - Liquidity Indicator v0.5_changetracked.docx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285889" w:rsidRPr="00A60C32">
      <w:rPr>
        <w:szCs w:val="20"/>
      </w:rPr>
      <w:t>September 10, 2019</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285889" w:rsidRPr="00A60C32">
      <w:rPr>
        <w:szCs w:val="20"/>
      </w:rPr>
      <w:t>Revision 0.5</w:t>
    </w:r>
    <w:r>
      <w:rPr>
        <w:sz w:val="24"/>
      </w:rPr>
      <w:fldChar w:fldCharType="end"/>
    </w:r>
  </w:p>
  <w:p w14:paraId="50A64B4C" w14:textId="77777777" w:rsidR="006D13FA" w:rsidRPr="00652D01" w:rsidRDefault="006E02A3" w:rsidP="008041F3">
    <w:pPr>
      <w:tabs>
        <w:tab w:val="left" w:pos="300"/>
      </w:tabs>
      <w:rPr>
        <w:szCs w:val="20"/>
      </w:rPr>
    </w:pPr>
    <w:r>
      <w:rPr>
        <w:noProof/>
        <w:szCs w:val="20"/>
      </w:rPr>
      <w:pict w14:anchorId="3ED00BD0">
        <v:rect id="_x0000_i1025" alt="" style="width:468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21B4" w14:textId="09FEFBDC" w:rsidR="006D13FA" w:rsidRPr="00B7611D" w:rsidRDefault="006D13FA" w:rsidP="00D873DF">
    <w:pPr>
      <w:rPr>
        <w:szCs w:val="22"/>
      </w:rPr>
    </w:pPr>
    <w:r w:rsidRPr="00B7611D">
      <w:rPr>
        <w:szCs w:val="22"/>
      </w:rPr>
      <w:fldChar w:fldCharType="begin"/>
    </w:r>
    <w:r w:rsidRPr="00E04F04">
      <w:rPr>
        <w:szCs w:val="22"/>
      </w:rPr>
      <w:instrText xml:space="preserve"> REF DocTitle \h  \* MERGEFORMAT </w:instrText>
    </w:r>
    <w:r w:rsidRPr="00B7611D">
      <w:rPr>
        <w:szCs w:val="22"/>
      </w:rPr>
    </w:r>
    <w:r w:rsidRPr="00B7611D">
      <w:rPr>
        <w:szCs w:val="22"/>
      </w:rPr>
      <w:fldChar w:fldCharType="separate"/>
    </w:r>
    <w:r w:rsidR="00285889" w:rsidRPr="00A60C32">
      <w:rPr>
        <w:szCs w:val="22"/>
      </w:rPr>
      <w:t>Liquidity Indicator Extension Proposal</w:t>
    </w:r>
    <w:r w:rsidRPr="00B7611D">
      <w:rPr>
        <w:szCs w:val="22"/>
      </w:rPr>
      <w:fldChar w:fldCharType="end"/>
    </w:r>
  </w:p>
  <w:p w14:paraId="0B42202A" w14:textId="4D6D2FD9" w:rsidR="006D13FA" w:rsidRPr="008041F3" w:rsidRDefault="006D13FA" w:rsidP="00D60945">
    <w:pPr>
      <w:pBdr>
        <w:bottom w:val="single" w:sz="4" w:space="1" w:color="auto"/>
      </w:pBdr>
      <w:tabs>
        <w:tab w:val="right" w:pos="9360"/>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285889">
      <w:rPr>
        <w:noProof/>
        <w:szCs w:val="20"/>
      </w:rPr>
      <w:t>FIX Protocol Gap Analysis - Liquidity Indicator v0.5_changetracked.docx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285889" w:rsidRPr="00A60C32">
      <w:rPr>
        <w:szCs w:val="20"/>
      </w:rPr>
      <w:t>September 10, 2019</w:t>
    </w:r>
    <w:r>
      <w:rPr>
        <w:szCs w:val="20"/>
      </w:rPr>
      <w:fldChar w:fldCharType="end"/>
    </w:r>
    <w:r w:rsidRPr="00103231">
      <w:rPr>
        <w:szCs w:val="20"/>
      </w:rPr>
      <w:t>-</w:t>
    </w:r>
    <w:r>
      <w:rPr>
        <w:szCs w:val="20"/>
      </w:rPr>
      <w:fldChar w:fldCharType="begin"/>
    </w:r>
    <w:r>
      <w:rPr>
        <w:szCs w:val="20"/>
      </w:rPr>
      <w:instrText xml:space="preserve"> REF  RevNum  \* MERGEFORMAT </w:instrText>
    </w:r>
    <w:r>
      <w:rPr>
        <w:szCs w:val="20"/>
      </w:rPr>
      <w:fldChar w:fldCharType="separate"/>
    </w:r>
    <w:r w:rsidR="00285889" w:rsidRPr="00A60C32">
      <w:rPr>
        <w:szCs w:val="20"/>
      </w:rPr>
      <w:t>Revision 0.5</w:t>
    </w:r>
    <w:r>
      <w:rPr>
        <w:sz w:val="24"/>
      </w:rPr>
      <w:fldChar w:fldCharType="end"/>
    </w:r>
  </w:p>
  <w:p w14:paraId="02D8AF39" w14:textId="77777777" w:rsidR="006D13FA" w:rsidRPr="00652D01" w:rsidRDefault="006E02A3" w:rsidP="008041F3">
    <w:pPr>
      <w:tabs>
        <w:tab w:val="left" w:pos="300"/>
      </w:tabs>
      <w:rPr>
        <w:szCs w:val="20"/>
      </w:rPr>
    </w:pPr>
    <w:r>
      <w:rPr>
        <w:noProof/>
        <w:szCs w:val="20"/>
      </w:rPr>
      <w:pict w14:anchorId="2B6D77F9">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E726F"/>
    <w:multiLevelType w:val="hybridMultilevel"/>
    <w:tmpl w:val="EAE8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EA0EF6"/>
    <w:multiLevelType w:val="hybridMultilevel"/>
    <w:tmpl w:val="3666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D0062"/>
    <w:multiLevelType w:val="hybridMultilevel"/>
    <w:tmpl w:val="C8D6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6D43DD"/>
    <w:multiLevelType w:val="hybridMultilevel"/>
    <w:tmpl w:val="695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5"/>
  </w:num>
  <w:num w:numId="6">
    <w:abstractNumId w:val="7"/>
  </w:num>
  <w:num w:numId="7">
    <w:abstractNumId w:val="3"/>
  </w:num>
  <w:num w:numId="8">
    <w:abstractNumId w:val="1"/>
  </w:num>
  <w:num w:numId="9">
    <w:abstractNumId w:val="0"/>
  </w:num>
  <w:num w:numId="10">
    <w:abstractNumId w:val="9"/>
  </w:num>
  <w:num w:numId="11">
    <w:abstractNumId w:val="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55AF"/>
    <w:rsid w:val="000116D8"/>
    <w:rsid w:val="00016596"/>
    <w:rsid w:val="00026F50"/>
    <w:rsid w:val="00033091"/>
    <w:rsid w:val="00051913"/>
    <w:rsid w:val="00071F92"/>
    <w:rsid w:val="000845F0"/>
    <w:rsid w:val="000A7081"/>
    <w:rsid w:val="000B1019"/>
    <w:rsid w:val="000B410A"/>
    <w:rsid w:val="000D6351"/>
    <w:rsid w:val="000D72D1"/>
    <w:rsid w:val="000E37C3"/>
    <w:rsid w:val="000E4635"/>
    <w:rsid w:val="000F05F3"/>
    <w:rsid w:val="000F0EE9"/>
    <w:rsid w:val="000F1A3F"/>
    <w:rsid w:val="000F5529"/>
    <w:rsid w:val="0010724F"/>
    <w:rsid w:val="00116FD0"/>
    <w:rsid w:val="00120E5C"/>
    <w:rsid w:val="001224E5"/>
    <w:rsid w:val="00123B65"/>
    <w:rsid w:val="00127961"/>
    <w:rsid w:val="00132FEC"/>
    <w:rsid w:val="00142762"/>
    <w:rsid w:val="00142D98"/>
    <w:rsid w:val="0014781F"/>
    <w:rsid w:val="00163CFE"/>
    <w:rsid w:val="001713E1"/>
    <w:rsid w:val="00171BC7"/>
    <w:rsid w:val="00172ACC"/>
    <w:rsid w:val="0017399A"/>
    <w:rsid w:val="0019025B"/>
    <w:rsid w:val="001A7F4E"/>
    <w:rsid w:val="001B1A87"/>
    <w:rsid w:val="001B4C2C"/>
    <w:rsid w:val="001B66A8"/>
    <w:rsid w:val="001C5750"/>
    <w:rsid w:val="001C6168"/>
    <w:rsid w:val="001C740E"/>
    <w:rsid w:val="001D22D4"/>
    <w:rsid w:val="001F090E"/>
    <w:rsid w:val="001F5CF8"/>
    <w:rsid w:val="002071A7"/>
    <w:rsid w:val="0021772B"/>
    <w:rsid w:val="002325DF"/>
    <w:rsid w:val="00235288"/>
    <w:rsid w:val="00240503"/>
    <w:rsid w:val="00244CC5"/>
    <w:rsid w:val="002538F6"/>
    <w:rsid w:val="00255C32"/>
    <w:rsid w:val="00265055"/>
    <w:rsid w:val="0027465D"/>
    <w:rsid w:val="00276560"/>
    <w:rsid w:val="00277F60"/>
    <w:rsid w:val="00285889"/>
    <w:rsid w:val="002B2D8E"/>
    <w:rsid w:val="002B5A6C"/>
    <w:rsid w:val="002C6F51"/>
    <w:rsid w:val="002D3A24"/>
    <w:rsid w:val="002E7FCD"/>
    <w:rsid w:val="002F00D6"/>
    <w:rsid w:val="002F21AE"/>
    <w:rsid w:val="002F2BD9"/>
    <w:rsid w:val="002F3598"/>
    <w:rsid w:val="002F670F"/>
    <w:rsid w:val="0031072B"/>
    <w:rsid w:val="00312C37"/>
    <w:rsid w:val="00313EC3"/>
    <w:rsid w:val="00315FB7"/>
    <w:rsid w:val="003318F4"/>
    <w:rsid w:val="00331B08"/>
    <w:rsid w:val="00342DD2"/>
    <w:rsid w:val="00366313"/>
    <w:rsid w:val="003704FE"/>
    <w:rsid w:val="00380885"/>
    <w:rsid w:val="00394651"/>
    <w:rsid w:val="003971C3"/>
    <w:rsid w:val="003A4C6A"/>
    <w:rsid w:val="003B2686"/>
    <w:rsid w:val="003C1F30"/>
    <w:rsid w:val="003C35DC"/>
    <w:rsid w:val="003C442B"/>
    <w:rsid w:val="003D242B"/>
    <w:rsid w:val="003D3414"/>
    <w:rsid w:val="003D5C59"/>
    <w:rsid w:val="003E2C11"/>
    <w:rsid w:val="003E57DD"/>
    <w:rsid w:val="003F27AC"/>
    <w:rsid w:val="00403113"/>
    <w:rsid w:val="004109C7"/>
    <w:rsid w:val="00414EBB"/>
    <w:rsid w:val="00417D49"/>
    <w:rsid w:val="0043045D"/>
    <w:rsid w:val="00433D0E"/>
    <w:rsid w:val="004610B0"/>
    <w:rsid w:val="0046547E"/>
    <w:rsid w:val="004675FB"/>
    <w:rsid w:val="0046798E"/>
    <w:rsid w:val="004829A2"/>
    <w:rsid w:val="004832C5"/>
    <w:rsid w:val="0049550D"/>
    <w:rsid w:val="004A03CA"/>
    <w:rsid w:val="004A1E8C"/>
    <w:rsid w:val="004A3B9E"/>
    <w:rsid w:val="004A3F33"/>
    <w:rsid w:val="004A4C6A"/>
    <w:rsid w:val="004B356C"/>
    <w:rsid w:val="004C5FAF"/>
    <w:rsid w:val="004D0D36"/>
    <w:rsid w:val="004D1D60"/>
    <w:rsid w:val="004E1E17"/>
    <w:rsid w:val="004F20B7"/>
    <w:rsid w:val="004F59AA"/>
    <w:rsid w:val="00503B33"/>
    <w:rsid w:val="00515AF5"/>
    <w:rsid w:val="005200C5"/>
    <w:rsid w:val="00520C30"/>
    <w:rsid w:val="00527186"/>
    <w:rsid w:val="00527264"/>
    <w:rsid w:val="005441DD"/>
    <w:rsid w:val="00545AE0"/>
    <w:rsid w:val="005500C9"/>
    <w:rsid w:val="00552116"/>
    <w:rsid w:val="0055289B"/>
    <w:rsid w:val="00554A92"/>
    <w:rsid w:val="00563119"/>
    <w:rsid w:val="0056368C"/>
    <w:rsid w:val="005646E5"/>
    <w:rsid w:val="0056632F"/>
    <w:rsid w:val="0057247E"/>
    <w:rsid w:val="00580182"/>
    <w:rsid w:val="00583464"/>
    <w:rsid w:val="0058606B"/>
    <w:rsid w:val="00592FF5"/>
    <w:rsid w:val="00595D9C"/>
    <w:rsid w:val="005A5AAE"/>
    <w:rsid w:val="005B57A2"/>
    <w:rsid w:val="005C2A42"/>
    <w:rsid w:val="005C72C3"/>
    <w:rsid w:val="005D49F9"/>
    <w:rsid w:val="005D628B"/>
    <w:rsid w:val="005E0EB4"/>
    <w:rsid w:val="005E22CE"/>
    <w:rsid w:val="00606049"/>
    <w:rsid w:val="0061223B"/>
    <w:rsid w:val="00640B1F"/>
    <w:rsid w:val="00652268"/>
    <w:rsid w:val="00652D01"/>
    <w:rsid w:val="006569A9"/>
    <w:rsid w:val="00661711"/>
    <w:rsid w:val="00672B35"/>
    <w:rsid w:val="00676087"/>
    <w:rsid w:val="00695F1B"/>
    <w:rsid w:val="00696841"/>
    <w:rsid w:val="006972C1"/>
    <w:rsid w:val="006B69CF"/>
    <w:rsid w:val="006C1ED9"/>
    <w:rsid w:val="006C2CC2"/>
    <w:rsid w:val="006D13FA"/>
    <w:rsid w:val="006D51E3"/>
    <w:rsid w:val="006E02A3"/>
    <w:rsid w:val="006F1D63"/>
    <w:rsid w:val="006F4606"/>
    <w:rsid w:val="007146FC"/>
    <w:rsid w:val="007310E9"/>
    <w:rsid w:val="00734395"/>
    <w:rsid w:val="00750B94"/>
    <w:rsid w:val="00757739"/>
    <w:rsid w:val="00757D2B"/>
    <w:rsid w:val="007600CB"/>
    <w:rsid w:val="0076019B"/>
    <w:rsid w:val="00764534"/>
    <w:rsid w:val="007706C9"/>
    <w:rsid w:val="00770A1A"/>
    <w:rsid w:val="0077595A"/>
    <w:rsid w:val="007863B6"/>
    <w:rsid w:val="007A3B17"/>
    <w:rsid w:val="007C1690"/>
    <w:rsid w:val="007D4DA4"/>
    <w:rsid w:val="007E03BB"/>
    <w:rsid w:val="007E38E2"/>
    <w:rsid w:val="007F233D"/>
    <w:rsid w:val="007F5D1F"/>
    <w:rsid w:val="007F6695"/>
    <w:rsid w:val="0080139B"/>
    <w:rsid w:val="00802692"/>
    <w:rsid w:val="008041F3"/>
    <w:rsid w:val="00804F5E"/>
    <w:rsid w:val="00820830"/>
    <w:rsid w:val="00836098"/>
    <w:rsid w:val="00836EA0"/>
    <w:rsid w:val="008431EC"/>
    <w:rsid w:val="00847261"/>
    <w:rsid w:val="0084776A"/>
    <w:rsid w:val="00853CEE"/>
    <w:rsid w:val="00855D35"/>
    <w:rsid w:val="00856721"/>
    <w:rsid w:val="00865658"/>
    <w:rsid w:val="00884DCF"/>
    <w:rsid w:val="008855A7"/>
    <w:rsid w:val="00885678"/>
    <w:rsid w:val="00887874"/>
    <w:rsid w:val="008922DD"/>
    <w:rsid w:val="0089277B"/>
    <w:rsid w:val="008B5163"/>
    <w:rsid w:val="008B6EDD"/>
    <w:rsid w:val="008C1910"/>
    <w:rsid w:val="008C219F"/>
    <w:rsid w:val="008C232C"/>
    <w:rsid w:val="008C24F4"/>
    <w:rsid w:val="008C6770"/>
    <w:rsid w:val="008C7F9E"/>
    <w:rsid w:val="008D15B0"/>
    <w:rsid w:val="008E53AC"/>
    <w:rsid w:val="008F5545"/>
    <w:rsid w:val="008F72BB"/>
    <w:rsid w:val="009011E6"/>
    <w:rsid w:val="00901989"/>
    <w:rsid w:val="00903A35"/>
    <w:rsid w:val="00933B6D"/>
    <w:rsid w:val="00954E02"/>
    <w:rsid w:val="009651DD"/>
    <w:rsid w:val="009672B5"/>
    <w:rsid w:val="00973E86"/>
    <w:rsid w:val="0097609E"/>
    <w:rsid w:val="00994094"/>
    <w:rsid w:val="00994E1B"/>
    <w:rsid w:val="00995AAC"/>
    <w:rsid w:val="009A6EA5"/>
    <w:rsid w:val="009B17A4"/>
    <w:rsid w:val="009B2037"/>
    <w:rsid w:val="009B2457"/>
    <w:rsid w:val="009B5B01"/>
    <w:rsid w:val="009D25F6"/>
    <w:rsid w:val="009D4778"/>
    <w:rsid w:val="009E6F16"/>
    <w:rsid w:val="00A0045E"/>
    <w:rsid w:val="00A00614"/>
    <w:rsid w:val="00A01B5A"/>
    <w:rsid w:val="00A056A3"/>
    <w:rsid w:val="00A10223"/>
    <w:rsid w:val="00A1162B"/>
    <w:rsid w:val="00A14C06"/>
    <w:rsid w:val="00A2152A"/>
    <w:rsid w:val="00A27903"/>
    <w:rsid w:val="00A44372"/>
    <w:rsid w:val="00A56823"/>
    <w:rsid w:val="00A60C32"/>
    <w:rsid w:val="00A6301C"/>
    <w:rsid w:val="00A716F4"/>
    <w:rsid w:val="00A76556"/>
    <w:rsid w:val="00A841C9"/>
    <w:rsid w:val="00A86912"/>
    <w:rsid w:val="00A90838"/>
    <w:rsid w:val="00A90B51"/>
    <w:rsid w:val="00A91161"/>
    <w:rsid w:val="00A94D16"/>
    <w:rsid w:val="00AA2080"/>
    <w:rsid w:val="00AA5A94"/>
    <w:rsid w:val="00AB2374"/>
    <w:rsid w:val="00AB36DF"/>
    <w:rsid w:val="00AC76DD"/>
    <w:rsid w:val="00AD1299"/>
    <w:rsid w:val="00AD37B3"/>
    <w:rsid w:val="00AD576D"/>
    <w:rsid w:val="00AD602C"/>
    <w:rsid w:val="00AF4C61"/>
    <w:rsid w:val="00B04686"/>
    <w:rsid w:val="00B062EF"/>
    <w:rsid w:val="00B10EDC"/>
    <w:rsid w:val="00B144B9"/>
    <w:rsid w:val="00B213BE"/>
    <w:rsid w:val="00B407C6"/>
    <w:rsid w:val="00B60388"/>
    <w:rsid w:val="00B7262E"/>
    <w:rsid w:val="00B7611D"/>
    <w:rsid w:val="00B771AD"/>
    <w:rsid w:val="00B825EF"/>
    <w:rsid w:val="00B918B4"/>
    <w:rsid w:val="00BA0DE2"/>
    <w:rsid w:val="00BA2A9B"/>
    <w:rsid w:val="00BA436E"/>
    <w:rsid w:val="00BA5B67"/>
    <w:rsid w:val="00BA62DA"/>
    <w:rsid w:val="00BB39AF"/>
    <w:rsid w:val="00BB510E"/>
    <w:rsid w:val="00BD14CC"/>
    <w:rsid w:val="00BD39FB"/>
    <w:rsid w:val="00BD3D23"/>
    <w:rsid w:val="00BE1912"/>
    <w:rsid w:val="00BE2DF5"/>
    <w:rsid w:val="00BE5C1B"/>
    <w:rsid w:val="00BF05B7"/>
    <w:rsid w:val="00BF2B75"/>
    <w:rsid w:val="00C13585"/>
    <w:rsid w:val="00C25F4C"/>
    <w:rsid w:val="00C345BC"/>
    <w:rsid w:val="00C51ACD"/>
    <w:rsid w:val="00C55E51"/>
    <w:rsid w:val="00C700F5"/>
    <w:rsid w:val="00C70A7F"/>
    <w:rsid w:val="00C821F8"/>
    <w:rsid w:val="00CB0E71"/>
    <w:rsid w:val="00CB23A6"/>
    <w:rsid w:val="00CB6E03"/>
    <w:rsid w:val="00CC134C"/>
    <w:rsid w:val="00CC5527"/>
    <w:rsid w:val="00CE0BD0"/>
    <w:rsid w:val="00CF0119"/>
    <w:rsid w:val="00CF1441"/>
    <w:rsid w:val="00CF2648"/>
    <w:rsid w:val="00CF26FD"/>
    <w:rsid w:val="00CF74BE"/>
    <w:rsid w:val="00D001DD"/>
    <w:rsid w:val="00D00BAE"/>
    <w:rsid w:val="00D10A5D"/>
    <w:rsid w:val="00D10E43"/>
    <w:rsid w:val="00D12227"/>
    <w:rsid w:val="00D1601F"/>
    <w:rsid w:val="00D348C4"/>
    <w:rsid w:val="00D4739C"/>
    <w:rsid w:val="00D50272"/>
    <w:rsid w:val="00D60945"/>
    <w:rsid w:val="00D62B99"/>
    <w:rsid w:val="00D7117B"/>
    <w:rsid w:val="00D757F6"/>
    <w:rsid w:val="00D84744"/>
    <w:rsid w:val="00D873B9"/>
    <w:rsid w:val="00D873DF"/>
    <w:rsid w:val="00D9639E"/>
    <w:rsid w:val="00DA49E2"/>
    <w:rsid w:val="00DB1916"/>
    <w:rsid w:val="00DC429A"/>
    <w:rsid w:val="00DC6183"/>
    <w:rsid w:val="00DD44E0"/>
    <w:rsid w:val="00DF412F"/>
    <w:rsid w:val="00E04F04"/>
    <w:rsid w:val="00E07EE8"/>
    <w:rsid w:val="00E13878"/>
    <w:rsid w:val="00E14792"/>
    <w:rsid w:val="00E20540"/>
    <w:rsid w:val="00E30D65"/>
    <w:rsid w:val="00E35297"/>
    <w:rsid w:val="00E35CB9"/>
    <w:rsid w:val="00E36BED"/>
    <w:rsid w:val="00E36D2B"/>
    <w:rsid w:val="00E61940"/>
    <w:rsid w:val="00E6452C"/>
    <w:rsid w:val="00E826E7"/>
    <w:rsid w:val="00E90785"/>
    <w:rsid w:val="00E939C3"/>
    <w:rsid w:val="00E97178"/>
    <w:rsid w:val="00E97DA5"/>
    <w:rsid w:val="00EA357B"/>
    <w:rsid w:val="00EA725A"/>
    <w:rsid w:val="00EB3995"/>
    <w:rsid w:val="00ED1FB9"/>
    <w:rsid w:val="00ED42B2"/>
    <w:rsid w:val="00EF2080"/>
    <w:rsid w:val="00EF2AF4"/>
    <w:rsid w:val="00EF37EA"/>
    <w:rsid w:val="00F005C6"/>
    <w:rsid w:val="00F02855"/>
    <w:rsid w:val="00F03DD0"/>
    <w:rsid w:val="00F04299"/>
    <w:rsid w:val="00F2510C"/>
    <w:rsid w:val="00F32E2C"/>
    <w:rsid w:val="00F47594"/>
    <w:rsid w:val="00F5756F"/>
    <w:rsid w:val="00F60C0F"/>
    <w:rsid w:val="00F6575C"/>
    <w:rsid w:val="00F8421C"/>
    <w:rsid w:val="00F85F52"/>
    <w:rsid w:val="00F91F1D"/>
    <w:rsid w:val="00F94760"/>
    <w:rsid w:val="00FA3D6B"/>
    <w:rsid w:val="00FA44A2"/>
    <w:rsid w:val="00FB6AF6"/>
    <w:rsid w:val="00FC4D2A"/>
    <w:rsid w:val="00FC4FC7"/>
    <w:rsid w:val="00FC75B4"/>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9F61988D-45CC-BB40-BE69-38DE6D8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313EC3"/>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123B65"/>
    <w:rPr>
      <w:rFonts w:asciiTheme="minorHAnsi" w:hAnsiTheme="minorHAnsi"/>
      <w:sz w:val="22"/>
      <w:szCs w:val="24"/>
      <w:lang w:val="en-US" w:eastAsia="en-US"/>
    </w:rPr>
  </w:style>
  <w:style w:type="paragraph" w:customStyle="1" w:styleId="TableParagraph">
    <w:name w:val="Table Paragraph"/>
    <w:basedOn w:val="Normal"/>
    <w:qFormat/>
    <w:rsid w:val="00123B65"/>
    <w:pPr>
      <w:spacing w:after="60"/>
    </w:pPr>
    <w:rPr>
      <w:sz w:val="20"/>
    </w:rPr>
  </w:style>
  <w:style w:type="paragraph" w:customStyle="1" w:styleId="TableList">
    <w:name w:val="Table List"/>
    <w:basedOn w:val="TableParagraph"/>
    <w:qFormat/>
    <w:rsid w:val="00123B65"/>
    <w:pPr>
      <w:spacing w:after="0"/>
    </w:pPr>
  </w:style>
  <w:style w:type="character" w:customStyle="1" w:styleId="UnresolvedMention1">
    <w:name w:val="Unresolved Mention1"/>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i/>
      <w:iCs/>
      <w:color w:val="1F497D" w:themeColor="text2"/>
      <w:sz w:val="18"/>
      <w:szCs w:val="18"/>
    </w:rPr>
  </w:style>
  <w:style w:type="paragraph" w:styleId="TableofFigures">
    <w:name w:val="table of figures"/>
    <w:basedOn w:val="Normal"/>
    <w:next w:val="Normal"/>
    <w:uiPriority w:val="99"/>
    <w:unhideWhenUsed/>
    <w:rsid w:val="0057247E"/>
  </w:style>
  <w:style w:type="paragraph" w:styleId="ListParagraph">
    <w:name w:val="List Paragraph"/>
    <w:basedOn w:val="Normal"/>
    <w:uiPriority w:val="34"/>
    <w:qFormat/>
    <w:rsid w:val="00CF0119"/>
    <w:pPr>
      <w:ind w:left="720"/>
      <w:contextualSpacing/>
    </w:pPr>
  </w:style>
  <w:style w:type="paragraph" w:styleId="FootnoteText">
    <w:name w:val="footnote text"/>
    <w:basedOn w:val="Normal"/>
    <w:link w:val="FootnoteTextChar"/>
    <w:semiHidden/>
    <w:unhideWhenUsed/>
    <w:rsid w:val="003D242B"/>
    <w:rPr>
      <w:sz w:val="20"/>
      <w:szCs w:val="20"/>
    </w:rPr>
  </w:style>
  <w:style w:type="character" w:customStyle="1" w:styleId="FootnoteTextChar">
    <w:name w:val="Footnote Text Char"/>
    <w:basedOn w:val="DefaultParagraphFont"/>
    <w:link w:val="FootnoteText"/>
    <w:semiHidden/>
    <w:rsid w:val="003D242B"/>
    <w:rPr>
      <w:rFonts w:asciiTheme="minorHAnsi" w:hAnsiTheme="minorHAnsi"/>
      <w:lang w:val="en-US" w:eastAsia="en-US"/>
    </w:rPr>
  </w:style>
  <w:style w:type="character" w:styleId="FootnoteReference">
    <w:name w:val="footnote reference"/>
    <w:basedOn w:val="DefaultParagraphFont"/>
    <w:semiHidden/>
    <w:unhideWhenUsed/>
    <w:rsid w:val="003D242B"/>
    <w:rPr>
      <w:vertAlign w:val="superscript"/>
    </w:rPr>
  </w:style>
  <w:style w:type="character" w:styleId="FollowedHyperlink">
    <w:name w:val="FollowedHyperlink"/>
    <w:basedOn w:val="DefaultParagraphFont"/>
    <w:semiHidden/>
    <w:unhideWhenUsed/>
    <w:rsid w:val="002325DF"/>
    <w:rPr>
      <w:color w:val="800080" w:themeColor="followedHyperlink"/>
      <w:u w:val="single"/>
    </w:rPr>
  </w:style>
  <w:style w:type="paragraph" w:customStyle="1" w:styleId="even">
    <w:name w:val="even"/>
    <w:basedOn w:val="Normal"/>
    <w:rsid w:val="00E6452C"/>
    <w:pPr>
      <w:spacing w:before="100" w:beforeAutospacing="1" w:after="100" w:afterAutospacing="1"/>
    </w:pPr>
    <w:rPr>
      <w:rFonts w:ascii="Times New Roman" w:hAnsi="Times New Roman"/>
      <w:sz w:val="24"/>
      <w:lang w:val="de-DE"/>
    </w:rPr>
  </w:style>
  <w:style w:type="character" w:styleId="UnresolvedMention">
    <w:name w:val="Unresolved Mention"/>
    <w:basedOn w:val="DefaultParagraphFont"/>
    <w:uiPriority w:val="99"/>
    <w:semiHidden/>
    <w:unhideWhenUsed/>
    <w:rsid w:val="003E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8772">
      <w:bodyDiv w:val="1"/>
      <w:marLeft w:val="0"/>
      <w:marRight w:val="0"/>
      <w:marTop w:val="0"/>
      <w:marBottom w:val="0"/>
      <w:divBdr>
        <w:top w:val="none" w:sz="0" w:space="0" w:color="auto"/>
        <w:left w:val="none" w:sz="0" w:space="0" w:color="auto"/>
        <w:bottom w:val="none" w:sz="0" w:space="0" w:color="auto"/>
        <w:right w:val="none" w:sz="0" w:space="0" w:color="auto"/>
      </w:divBdr>
    </w:div>
    <w:div w:id="6049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c.gov/files/Order_Handling_Data_Technical_Specification_20190331.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c.gov/rules/final/2018/34-84528.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ep19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FF99-F70D-4E51-81B6-9D72F555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3876</Words>
  <Characters>22099</Characters>
  <Application>Microsoft Office Word</Application>
  <DocSecurity>0</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25924</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dc:description/>
  <cp:lastModifiedBy>Kathleen Callahan</cp:lastModifiedBy>
  <cp:revision>2</cp:revision>
  <cp:lastPrinted>2019-09-10T13:54:00Z</cp:lastPrinted>
  <dcterms:created xsi:type="dcterms:W3CDTF">2019-09-25T16:33:00Z</dcterms:created>
  <dcterms:modified xsi:type="dcterms:W3CDTF">2019-09-25T16:33:00Z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_AdHocReviewCycleID">
    <vt:i4>1956297393</vt:i4>
  </property>
  <property fmtid="{D5CDD505-2E9C-101B-9397-08002B2CF9AE}" pid="11" name="_NewReviewCycle">
    <vt:lpwstr/>
  </property>
  <property fmtid="{D5CDD505-2E9C-101B-9397-08002B2CF9AE}" pid="12" name="_EmailSubject">
    <vt:lpwstr>Extension of FIX Liquidity Indicator - TAG 851 - Public Review ended with comments</vt:lpwstr>
  </property>
  <property fmtid="{D5CDD505-2E9C-101B-9397-08002B2CF9AE}" pid="13" name="_AuthorEmail">
    <vt:lpwstr>NBlewitt@lseg.com</vt:lpwstr>
  </property>
  <property fmtid="{D5CDD505-2E9C-101B-9397-08002B2CF9AE}" pid="14" name="_AuthorEmailDisplayName">
    <vt:lpwstr>Blewitt, Neil</vt:lpwstr>
  </property>
  <property fmtid="{D5CDD505-2E9C-101B-9397-08002B2CF9AE}" pid="15" name="_ReviewingToolsShownOnce">
    <vt:lpwstr/>
  </property>
</Properties>
</file>