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8103EE" w14:textId="77777777" w:rsidR="00D873DF" w:rsidRPr="00080375" w:rsidRDefault="00D873DF" w:rsidP="00D873DF">
      <w:pPr>
        <w:rPr>
          <w:rFonts w:cs="Arial"/>
          <w:lang w:val="en-GB"/>
        </w:rPr>
      </w:pPr>
      <w:bookmarkStart w:id="0" w:name="_GoBack"/>
      <w:bookmarkEnd w:id="0"/>
    </w:p>
    <w:p w14:paraId="61809049" w14:textId="77777777" w:rsidR="00D873DF" w:rsidRPr="00080375" w:rsidRDefault="00D873DF" w:rsidP="00D873DF">
      <w:pPr>
        <w:rPr>
          <w:rFonts w:cs="Arial"/>
          <w:lang w:val="en-GB"/>
        </w:rPr>
      </w:pPr>
    </w:p>
    <w:p w14:paraId="1C2C1DA8" w14:textId="77777777" w:rsidR="00D873DF" w:rsidRPr="00080375" w:rsidRDefault="00D873DF" w:rsidP="00D873DF">
      <w:pPr>
        <w:rPr>
          <w:rFonts w:cs="Arial"/>
          <w:lang w:val="en-GB"/>
        </w:rPr>
      </w:pPr>
    </w:p>
    <w:p w14:paraId="637A8767" w14:textId="77777777" w:rsidR="00D873DF" w:rsidRPr="00080375" w:rsidRDefault="00D873DF" w:rsidP="00D873DF">
      <w:pPr>
        <w:rPr>
          <w:rFonts w:cs="Arial"/>
          <w:lang w:val="en-GB"/>
        </w:rPr>
      </w:pPr>
    </w:p>
    <w:p w14:paraId="6EA95E4B" w14:textId="77777777" w:rsidR="00D873DF" w:rsidRPr="00080375" w:rsidRDefault="00D873DF" w:rsidP="00D873DF">
      <w:pPr>
        <w:rPr>
          <w:rFonts w:cs="Arial"/>
          <w:lang w:val="en-GB"/>
        </w:rPr>
      </w:pPr>
    </w:p>
    <w:p w14:paraId="72936851" w14:textId="77777777" w:rsidR="00D873DF" w:rsidRPr="00080375" w:rsidRDefault="007C3DC9" w:rsidP="00D873DF">
      <w:pPr>
        <w:jc w:val="center"/>
        <w:rPr>
          <w:rFonts w:cs="Arial"/>
          <w:lang w:val="en-GB"/>
        </w:rPr>
      </w:pPr>
      <w:r w:rsidRPr="00962C7D">
        <w:rPr>
          <w:rFonts w:cs="Arial"/>
          <w:noProof/>
        </w:rPr>
        <w:drawing>
          <wp:inline distT="0" distB="0" distL="0" distR="0" wp14:anchorId="0437BAAC" wp14:editId="69010A03">
            <wp:extent cx="2476500" cy="561975"/>
            <wp:effectExtent l="0" t="0" r="0" b="9525"/>
            <wp:docPr id="1" name="Picture 1" descr="FTC_Logo_FullColou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C_Logo_FullColour_RG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0" cy="561975"/>
                    </a:xfrm>
                    <a:prstGeom prst="rect">
                      <a:avLst/>
                    </a:prstGeom>
                    <a:noFill/>
                    <a:ln>
                      <a:noFill/>
                    </a:ln>
                  </pic:spPr>
                </pic:pic>
              </a:graphicData>
            </a:graphic>
          </wp:inline>
        </w:drawing>
      </w:r>
    </w:p>
    <w:p w14:paraId="1C15DC0C" w14:textId="77777777" w:rsidR="00D873DF" w:rsidRPr="00080375" w:rsidRDefault="00D873DF" w:rsidP="00D873DF">
      <w:pPr>
        <w:rPr>
          <w:rFonts w:cs="Arial"/>
          <w:lang w:val="en-GB"/>
        </w:rPr>
      </w:pPr>
    </w:p>
    <w:p w14:paraId="0DA76C23" w14:textId="77777777" w:rsidR="00D873DF" w:rsidRPr="00080375" w:rsidRDefault="00D873DF" w:rsidP="00D873DF">
      <w:pPr>
        <w:rPr>
          <w:rFonts w:cs="Arial"/>
          <w:lang w:val="en-GB"/>
        </w:rPr>
      </w:pPr>
    </w:p>
    <w:p w14:paraId="6AEC41E5" w14:textId="77777777" w:rsidR="00D873DF" w:rsidRPr="00080375" w:rsidRDefault="00D873DF" w:rsidP="00D873DF">
      <w:pPr>
        <w:rPr>
          <w:rFonts w:cs="Arial"/>
          <w:lang w:val="en-GB"/>
        </w:rPr>
      </w:pPr>
    </w:p>
    <w:p w14:paraId="04A8DD77" w14:textId="77777777" w:rsidR="00D873DF" w:rsidRPr="00080375" w:rsidRDefault="00D873DF" w:rsidP="00D873DF">
      <w:pPr>
        <w:rPr>
          <w:rFonts w:cs="Arial"/>
          <w:lang w:val="en-GB"/>
        </w:rPr>
      </w:pPr>
    </w:p>
    <w:p w14:paraId="5D44C7AA" w14:textId="77777777" w:rsidR="00D873DF" w:rsidRPr="00080375" w:rsidRDefault="00D873DF" w:rsidP="00D873DF">
      <w:pPr>
        <w:rPr>
          <w:rFonts w:cs="Arial"/>
          <w:lang w:val="en-GB"/>
        </w:rPr>
      </w:pPr>
    </w:p>
    <w:p w14:paraId="32ACAFC2" w14:textId="77777777" w:rsidR="00D873DF" w:rsidRPr="00080375" w:rsidRDefault="00D873DF" w:rsidP="00D873DF">
      <w:pPr>
        <w:rPr>
          <w:rFonts w:cs="Arial"/>
          <w:lang w:val="en-GB"/>
        </w:rPr>
      </w:pPr>
    </w:p>
    <w:p w14:paraId="25DF67A4" w14:textId="77777777" w:rsidR="00D873DF" w:rsidRPr="00080375" w:rsidRDefault="00D873DF" w:rsidP="00D873DF">
      <w:pPr>
        <w:rPr>
          <w:rFonts w:cs="Arial"/>
          <w:lang w:val="en-GB"/>
        </w:rPr>
      </w:pPr>
    </w:p>
    <w:p w14:paraId="0697C0F8" w14:textId="77777777" w:rsidR="00D873DF" w:rsidRPr="00080375" w:rsidRDefault="007A7848" w:rsidP="00C2125E">
      <w:pPr>
        <w:pStyle w:val="Title"/>
        <w:spacing w:before="120" w:after="120"/>
        <w:rPr>
          <w:sz w:val="40"/>
          <w:szCs w:val="40"/>
          <w:lang w:val="en-GB"/>
        </w:rPr>
      </w:pPr>
      <w:r w:rsidRPr="00080375">
        <w:rPr>
          <w:sz w:val="40"/>
          <w:szCs w:val="40"/>
          <w:lang w:val="en-GB"/>
        </w:rPr>
        <w:t>MiFID Best Execution Subgroup</w:t>
      </w:r>
    </w:p>
    <w:p w14:paraId="06D29B07" w14:textId="77777777" w:rsidR="006D77E2" w:rsidRDefault="007A7848" w:rsidP="00C2125E">
      <w:pPr>
        <w:pStyle w:val="Title"/>
        <w:spacing w:before="120" w:after="120"/>
        <w:rPr>
          <w:sz w:val="40"/>
          <w:szCs w:val="40"/>
          <w:lang w:val="en-GB"/>
        </w:rPr>
      </w:pPr>
      <w:bookmarkStart w:id="1" w:name="DocTitle"/>
      <w:r w:rsidRPr="00080375">
        <w:rPr>
          <w:sz w:val="40"/>
          <w:szCs w:val="40"/>
          <w:lang w:val="en-GB"/>
        </w:rPr>
        <w:t>Recommended Practices for Best Execution Reporting as</w:t>
      </w:r>
      <w:r w:rsidR="0003573B" w:rsidRPr="00080375">
        <w:rPr>
          <w:sz w:val="40"/>
          <w:szCs w:val="40"/>
          <w:lang w:val="en-GB"/>
        </w:rPr>
        <w:t xml:space="preserve"> required by MiFID II RTS</w:t>
      </w:r>
      <w:r w:rsidRPr="00080375">
        <w:rPr>
          <w:sz w:val="40"/>
          <w:szCs w:val="40"/>
          <w:lang w:val="en-GB"/>
        </w:rPr>
        <w:t xml:space="preserve"> 27 &amp; 28</w:t>
      </w:r>
      <w:r w:rsidR="001E3558">
        <w:rPr>
          <w:sz w:val="40"/>
          <w:szCs w:val="40"/>
          <w:lang w:val="en-GB"/>
        </w:rPr>
        <w:t xml:space="preserve"> with reference to </w:t>
      </w:r>
    </w:p>
    <w:p w14:paraId="5892001B" w14:textId="77777777" w:rsidR="00D873DF" w:rsidRPr="00080375" w:rsidRDefault="006D77E2" w:rsidP="00C2125E">
      <w:pPr>
        <w:pStyle w:val="Title"/>
        <w:spacing w:before="120" w:after="120"/>
        <w:rPr>
          <w:sz w:val="40"/>
          <w:szCs w:val="40"/>
          <w:lang w:val="en-GB"/>
        </w:rPr>
      </w:pPr>
      <w:r w:rsidRPr="006D77E2">
        <w:rPr>
          <w:sz w:val="40"/>
        </w:rPr>
        <w:t xml:space="preserve">Delegated Act 2398 </w:t>
      </w:r>
      <w:r w:rsidR="001E3558">
        <w:rPr>
          <w:sz w:val="40"/>
          <w:szCs w:val="40"/>
          <w:lang w:val="en-GB"/>
        </w:rPr>
        <w:t>Article 65.6</w:t>
      </w:r>
      <w:r w:rsidR="00D873DF" w:rsidRPr="00080375">
        <w:rPr>
          <w:sz w:val="40"/>
          <w:szCs w:val="40"/>
          <w:lang w:val="en-GB"/>
        </w:rPr>
        <w:t xml:space="preserve"> </w:t>
      </w:r>
      <w:bookmarkEnd w:id="1"/>
    </w:p>
    <w:p w14:paraId="741AFE39" w14:textId="77777777" w:rsidR="00D873DF" w:rsidRPr="00962C7D" w:rsidRDefault="00D873DF" w:rsidP="00995AAB">
      <w:pPr>
        <w:rPr>
          <w:lang w:val="en-GB"/>
        </w:rPr>
      </w:pPr>
    </w:p>
    <w:p w14:paraId="4A97B88F" w14:textId="77777777" w:rsidR="00D873DF" w:rsidRPr="00A7378B" w:rsidRDefault="00D873DF" w:rsidP="00995AAB">
      <w:pPr>
        <w:rPr>
          <w:lang w:val="en-GB"/>
        </w:rPr>
      </w:pPr>
    </w:p>
    <w:p w14:paraId="3990167F" w14:textId="77777777" w:rsidR="00D873DF" w:rsidRPr="00A7378B" w:rsidRDefault="00D873DF" w:rsidP="00995AAB">
      <w:pPr>
        <w:rPr>
          <w:lang w:val="en-GB"/>
        </w:rPr>
      </w:pPr>
    </w:p>
    <w:p w14:paraId="67BBEA17" w14:textId="77777777" w:rsidR="00D873DF" w:rsidRPr="00A7378B" w:rsidRDefault="00D873DF" w:rsidP="00995AAB">
      <w:pPr>
        <w:rPr>
          <w:lang w:val="en-GB"/>
        </w:rPr>
      </w:pPr>
    </w:p>
    <w:p w14:paraId="2F105A09" w14:textId="77777777" w:rsidR="00D873DF" w:rsidRPr="00663096" w:rsidRDefault="00D873DF" w:rsidP="00995AAB">
      <w:pPr>
        <w:rPr>
          <w:lang w:val="en-GB"/>
        </w:rPr>
      </w:pPr>
    </w:p>
    <w:p w14:paraId="215AD168" w14:textId="5694EDEE" w:rsidR="00D873DF" w:rsidRPr="00C2125E" w:rsidRDefault="00201E61" w:rsidP="00D873DF">
      <w:pPr>
        <w:pStyle w:val="Title"/>
        <w:rPr>
          <w:sz w:val="24"/>
          <w:szCs w:val="24"/>
          <w:lang w:val="en-GB"/>
        </w:rPr>
      </w:pPr>
      <w:r>
        <w:rPr>
          <w:sz w:val="24"/>
          <w:szCs w:val="24"/>
          <w:lang w:val="en-GB"/>
        </w:rPr>
        <w:t>12</w:t>
      </w:r>
      <w:r w:rsidR="00277B47">
        <w:rPr>
          <w:sz w:val="24"/>
          <w:szCs w:val="24"/>
          <w:lang w:val="en-GB"/>
        </w:rPr>
        <w:t>/10/</w:t>
      </w:r>
      <w:r w:rsidR="002235FC">
        <w:rPr>
          <w:sz w:val="24"/>
          <w:szCs w:val="24"/>
          <w:lang w:val="en-GB"/>
        </w:rPr>
        <w:t>2017</w:t>
      </w:r>
    </w:p>
    <w:p w14:paraId="342036DC" w14:textId="067F775B" w:rsidR="00D873DF" w:rsidRPr="00C2125E" w:rsidRDefault="009157E7" w:rsidP="002235FC">
      <w:pPr>
        <w:pStyle w:val="Title"/>
        <w:rPr>
          <w:sz w:val="24"/>
          <w:szCs w:val="24"/>
          <w:lang w:val="en-GB"/>
        </w:rPr>
      </w:pPr>
      <w:bookmarkStart w:id="2" w:name="_Toc105491793"/>
      <w:bookmarkStart w:id="3" w:name="RevNum"/>
      <w:r w:rsidRPr="00C2125E">
        <w:rPr>
          <w:sz w:val="24"/>
          <w:szCs w:val="24"/>
          <w:lang w:val="en-GB"/>
        </w:rPr>
        <w:t xml:space="preserve"> </w:t>
      </w:r>
      <w:r w:rsidR="00D873DF" w:rsidRPr="00C2125E">
        <w:rPr>
          <w:sz w:val="24"/>
          <w:szCs w:val="24"/>
          <w:lang w:val="en-GB"/>
        </w:rPr>
        <w:t>Revision</w:t>
      </w:r>
      <w:bookmarkEnd w:id="2"/>
      <w:bookmarkEnd w:id="3"/>
      <w:r w:rsidR="00756C3B" w:rsidRPr="00C2125E">
        <w:rPr>
          <w:sz w:val="24"/>
          <w:szCs w:val="24"/>
          <w:lang w:val="en-GB"/>
        </w:rPr>
        <w:t xml:space="preserve"> </w:t>
      </w:r>
      <w:r w:rsidR="002235FC">
        <w:rPr>
          <w:sz w:val="24"/>
          <w:szCs w:val="24"/>
          <w:lang w:val="en-GB"/>
        </w:rPr>
        <w:t>3</w:t>
      </w:r>
      <w:r w:rsidR="00201E61">
        <w:rPr>
          <w:sz w:val="24"/>
          <w:szCs w:val="24"/>
          <w:lang w:val="en-GB"/>
        </w:rPr>
        <w:t>5</w:t>
      </w:r>
    </w:p>
    <w:p w14:paraId="52E5529D" w14:textId="5B6E7A8B" w:rsidR="003318F4" w:rsidRPr="00080375" w:rsidRDefault="00201E61" w:rsidP="00D873DF">
      <w:pPr>
        <w:pStyle w:val="Title"/>
        <w:rPr>
          <w:sz w:val="24"/>
          <w:szCs w:val="24"/>
          <w:lang w:val="en-GB"/>
        </w:rPr>
      </w:pPr>
      <w:r>
        <w:rPr>
          <w:sz w:val="24"/>
          <w:szCs w:val="24"/>
          <w:lang w:val="en-GB"/>
        </w:rPr>
        <w:t>Proposal Status: Final</w:t>
      </w:r>
    </w:p>
    <w:p w14:paraId="429F2FD2" w14:textId="77777777" w:rsidR="00D873DF" w:rsidRPr="00080375" w:rsidRDefault="00D873DF" w:rsidP="00D873DF">
      <w:pPr>
        <w:rPr>
          <w:rFonts w:cs="Arial"/>
          <w:lang w:val="en-GB"/>
        </w:rPr>
      </w:pPr>
    </w:p>
    <w:p w14:paraId="6FFA5C82" w14:textId="77777777" w:rsidR="00D873DF" w:rsidRPr="00080375" w:rsidRDefault="00D873DF">
      <w:pPr>
        <w:rPr>
          <w:rFonts w:cs="Arial"/>
          <w:lang w:val="en-GB"/>
        </w:rPr>
        <w:sectPr w:rsidR="00D873DF" w:rsidRPr="00080375" w:rsidSect="00B17022">
          <w:footerReference w:type="default" r:id="rId11"/>
          <w:headerReference w:type="first" r:id="rId12"/>
          <w:footerReference w:type="first" r:id="rId13"/>
          <w:pgSz w:w="12240" w:h="15840" w:code="1"/>
          <w:pgMar w:top="1440" w:right="1440" w:bottom="1440" w:left="1440" w:header="720" w:footer="720" w:gutter="0"/>
          <w:cols w:space="720"/>
          <w:docGrid w:linePitch="360"/>
        </w:sectPr>
      </w:pPr>
    </w:p>
    <w:p w14:paraId="72BBE388" w14:textId="77777777" w:rsidR="00640B1F" w:rsidRPr="00080375" w:rsidRDefault="00640B1F" w:rsidP="00640B1F">
      <w:pPr>
        <w:pStyle w:val="Title"/>
        <w:rPr>
          <w:u w:val="single"/>
          <w:lang w:val="en-GB"/>
        </w:rPr>
      </w:pPr>
      <w:bookmarkStart w:id="4" w:name="_Toc105491794"/>
      <w:r w:rsidRPr="00080375">
        <w:rPr>
          <w:u w:val="single"/>
          <w:lang w:val="en-GB"/>
        </w:rPr>
        <w:lastRenderedPageBreak/>
        <w:t>DISCLAIMER</w:t>
      </w:r>
      <w:bookmarkEnd w:id="4"/>
    </w:p>
    <w:p w14:paraId="2D14BF6F" w14:textId="77777777" w:rsidR="00640B1F" w:rsidRPr="00080375" w:rsidRDefault="00640B1F" w:rsidP="00640B1F">
      <w:pPr>
        <w:pStyle w:val="BodyText"/>
        <w:rPr>
          <w:rFonts w:cs="Arial"/>
          <w:lang w:val="en-GB"/>
        </w:rPr>
      </w:pPr>
    </w:p>
    <w:p w14:paraId="1000D5E0" w14:textId="77777777" w:rsidR="00640B1F" w:rsidRPr="00080375" w:rsidRDefault="00640B1F" w:rsidP="00640B1F">
      <w:pPr>
        <w:pStyle w:val="BodyText"/>
        <w:rPr>
          <w:rFonts w:cs="Arial"/>
          <w:lang w:val="en-GB"/>
        </w:rPr>
      </w:pPr>
    </w:p>
    <w:p w14:paraId="0B19AFF8" w14:textId="77777777" w:rsidR="00F85F52" w:rsidRPr="00080375" w:rsidRDefault="00F85F52" w:rsidP="00F85F52">
      <w:pPr>
        <w:numPr>
          <w:ilvl w:val="12"/>
          <w:numId w:val="0"/>
        </w:numPr>
        <w:rPr>
          <w:rFonts w:cs="Arial"/>
          <w:lang w:val="en-GB"/>
        </w:rPr>
      </w:pPr>
      <w:r w:rsidRPr="00080375">
        <w:rPr>
          <w:rFonts w:cs="Arial"/>
          <w:lang w:val="en-GB"/>
        </w:rPr>
        <w:t>THE INFORMATION CONTAINED HEREIN AND THE FINANCIAL INFORMATION EXCHANGE PROTOCOL (COLLECTIVELY, THE "FIX PROTOCOL") ARE PROVIDED "AS IS" AND NO PERSON OR ENTITY ASSOCIATED WITH THE FIX PROTOCOL MAKES ANY REPRESENTATION OR WARRANTY, EXPRESS OR IMPLIED, AS TO THE FIX PROTOCOL (OR THE RESULTS TO BE OBTAINED BY THE USE THEREOF) OR ANY OTHER MATTER AND EACH SUCH PERSON AND ENTITY SPECIFICALLY DISCLAIMS ANY WARRANTY OF ORIGINALITY, ACCURACY, COMPLETENESS, MERCHANTABILITY OR FITNESS FOR A PARTICULAR PURPOSE.  SUCH PERSONS AND ENTITIES DO NOT WARRANT THAT THE FIX PROTOCOL WILL CONFORM TO ANY DESCRIPTION THEREOF OR BE FREE OF ERRORS.  THE ENTIRE RISK OF ANY USE OF THE FIX PROTOCOL IS ASSUMED BY THE USER.</w:t>
      </w:r>
    </w:p>
    <w:p w14:paraId="73807C68" w14:textId="77777777" w:rsidR="00F85F52" w:rsidRPr="00080375" w:rsidRDefault="00F85F52" w:rsidP="00F85F52">
      <w:pPr>
        <w:numPr>
          <w:ilvl w:val="12"/>
          <w:numId w:val="0"/>
        </w:numPr>
        <w:rPr>
          <w:rFonts w:cs="Arial"/>
          <w:lang w:val="en-GB"/>
        </w:rPr>
      </w:pPr>
    </w:p>
    <w:p w14:paraId="23318E48" w14:textId="77777777" w:rsidR="00F85F52" w:rsidRPr="00080375" w:rsidRDefault="00F85F52" w:rsidP="00F85F52">
      <w:pPr>
        <w:numPr>
          <w:ilvl w:val="12"/>
          <w:numId w:val="0"/>
        </w:numPr>
        <w:rPr>
          <w:rFonts w:cs="Arial"/>
          <w:lang w:val="en-GB"/>
        </w:rPr>
      </w:pPr>
      <w:r w:rsidRPr="00080375">
        <w:rPr>
          <w:rFonts w:cs="Arial"/>
          <w:lang w:val="en-GB"/>
        </w:rPr>
        <w:t>NO PERSON OR ENTITY ASSOCIATED WITH THE FIX PROTOCOL SHALL HAVE ANY LIABILITY FOR DAMAGES OF ANY KIND ARISING IN ANY MANNER OUT OF OR IN CONNECTION WITH ANY USER'S USE OF (OR ANY INABILITY TO USE) THE FIX PROTOCOL, WHETHER DIRECT, INDIRECT, INCIDENTAL, SPECIAL OR  CONSEQUENTIAL (INCLUDING, WITHOUT LIMITATION, LOSS OF DATA, LOSS OF USE, CLAIMS OF THIRD PARTIES OR LOST PROFITS OR REVENUES OR OTHER ECONOMIC LOSS), WHETHER IN TORT (INCLUDING NEGLIGENCE AND STRICT LIABILITY), CONTRACT OR OTHERWISE, WHETHER OR NOT ANY SUCH PERSON OR ENTITY HAS BEEN ADVISED OF, OR OTHERWISE MIGHT HAVE ANTICIPATED THE POSSIBILITY OF, SUCH DAMAGES.</w:t>
      </w:r>
    </w:p>
    <w:p w14:paraId="3F2C143B" w14:textId="77777777" w:rsidR="003318F4" w:rsidRPr="00080375" w:rsidRDefault="003318F4" w:rsidP="00F85F52">
      <w:pPr>
        <w:numPr>
          <w:ilvl w:val="12"/>
          <w:numId w:val="0"/>
        </w:numPr>
        <w:rPr>
          <w:rFonts w:cs="Arial"/>
          <w:lang w:val="en-GB"/>
        </w:rPr>
      </w:pPr>
    </w:p>
    <w:p w14:paraId="1910FE7E" w14:textId="77777777" w:rsidR="003318F4" w:rsidRPr="00080375" w:rsidRDefault="003318F4" w:rsidP="00F85F52">
      <w:pPr>
        <w:numPr>
          <w:ilvl w:val="12"/>
          <w:numId w:val="0"/>
        </w:numPr>
        <w:rPr>
          <w:rFonts w:cs="Arial"/>
          <w:lang w:val="en-GB"/>
        </w:rPr>
      </w:pPr>
      <w:r w:rsidRPr="00080375">
        <w:rPr>
          <w:rFonts w:cs="Arial"/>
          <w:b/>
          <w:lang w:val="en-GB"/>
        </w:rPr>
        <w:t>DRAFT OR NOT RATIFIED PROPOSALS</w:t>
      </w:r>
      <w:r w:rsidRPr="00080375">
        <w:rPr>
          <w:rFonts w:cs="Arial"/>
          <w:lang w:val="en-GB"/>
        </w:rPr>
        <w:t xml:space="preserve"> (REFER TO PROPOSAL STATUS AND/OR SUBMISSION STATUS ON COVER PAGE) ARE PROVIDED "AS</w:t>
      </w:r>
      <w:r w:rsidR="00BD39FB" w:rsidRPr="00080375">
        <w:rPr>
          <w:rFonts w:cs="Arial"/>
          <w:lang w:val="en-GB"/>
        </w:rPr>
        <w:t xml:space="preserve"> </w:t>
      </w:r>
      <w:r w:rsidRPr="00080375">
        <w:rPr>
          <w:rFonts w:cs="Arial"/>
          <w:lang w:val="en-GB"/>
        </w:rPr>
        <w:t xml:space="preserve">IS" TO INTERESTED PARTIES FOR DISCUSSION ONLY.  PARTIES THAT CHOOSE TO IMPLEMENT THIS DRAFT PROPOSAL DO SO AT THEIR OWN RISK.  IT IS A DRAFT DOCUMENT AND MAY BE UPDATED, REPLACED, OR MADE OBSOLETE BY OTHER DOCUMENTS AT ANY TIME.  THE </w:t>
      </w:r>
      <w:r w:rsidR="00FB39C9" w:rsidRPr="00080375">
        <w:rPr>
          <w:rFonts w:cs="Arial"/>
          <w:lang w:val="en-GB"/>
        </w:rPr>
        <w:t>FIX TRADING COMMUNITY</w:t>
      </w:r>
      <w:r w:rsidRPr="00080375">
        <w:rPr>
          <w:rFonts w:cs="Arial"/>
          <w:lang w:val="en-GB"/>
        </w:rPr>
        <w:t xml:space="preserve"> GLOBAL TECHNICAL COMMITTEE WILL NOT ALLOW EARLY IMPLEMENTATION TO CONSTRAIN ITS ABILITY TO MAKE CHANGES TO THIS SPECIFICATION PRIOR TO FINAL RELEASE.  IT IS INAPPROPRIATE TO USE </w:t>
      </w:r>
      <w:r w:rsidR="00FB39C9" w:rsidRPr="00080375">
        <w:rPr>
          <w:rFonts w:cs="Arial"/>
          <w:lang w:val="en-GB"/>
        </w:rPr>
        <w:t>FIX TRADING COMMUNITY</w:t>
      </w:r>
      <w:r w:rsidRPr="00080375">
        <w:rPr>
          <w:rFonts w:cs="Arial"/>
          <w:lang w:val="en-GB"/>
        </w:rPr>
        <w:t xml:space="preserve"> WORKING DRAFTS AS REFERENCE MATERIAL OR TO CITE THEM AS OTHER THAN “WORKS IN PROGRESS”.  THE </w:t>
      </w:r>
      <w:r w:rsidR="00FB39C9" w:rsidRPr="00080375">
        <w:rPr>
          <w:rFonts w:cs="Arial"/>
          <w:lang w:val="en-GB"/>
        </w:rPr>
        <w:t>FIX TRADING COMMUNITY</w:t>
      </w:r>
      <w:r w:rsidRPr="00080375">
        <w:rPr>
          <w:rFonts w:cs="Arial"/>
          <w:lang w:val="en-GB"/>
        </w:rPr>
        <w:t xml:space="preserve"> GLOBAL TECHNICAL COMMITTEE WILL ISSUE, UPON COMPLETION OF REVIEW AND RATIFICATION, AN OFFICIAL STATUS ("APPROVED") </w:t>
      </w:r>
      <w:r w:rsidR="00BD39FB" w:rsidRPr="00080375">
        <w:rPr>
          <w:rFonts w:cs="Arial"/>
          <w:lang w:val="en-GB"/>
        </w:rPr>
        <w:t xml:space="preserve">FOR </w:t>
      </w:r>
      <w:r w:rsidRPr="00080375">
        <w:rPr>
          <w:rFonts w:cs="Arial"/>
          <w:lang w:val="en-GB"/>
        </w:rPr>
        <w:t>THE PROPOSAL AND A RELEASE NUMBER.</w:t>
      </w:r>
    </w:p>
    <w:p w14:paraId="3BFFE032" w14:textId="77777777" w:rsidR="00F85F52" w:rsidRPr="00080375" w:rsidRDefault="00F85F52" w:rsidP="00F85F52">
      <w:pPr>
        <w:numPr>
          <w:ilvl w:val="12"/>
          <w:numId w:val="0"/>
        </w:numPr>
        <w:rPr>
          <w:rFonts w:cs="Arial"/>
          <w:lang w:val="en-GB"/>
        </w:rPr>
      </w:pPr>
    </w:p>
    <w:p w14:paraId="6248AF62" w14:textId="77777777" w:rsidR="00F85F52" w:rsidRPr="00080375" w:rsidRDefault="00F85F52" w:rsidP="00F85F52">
      <w:pPr>
        <w:numPr>
          <w:ilvl w:val="12"/>
          <w:numId w:val="0"/>
        </w:numPr>
        <w:rPr>
          <w:rFonts w:cs="Arial"/>
          <w:lang w:val="en-GB"/>
        </w:rPr>
      </w:pPr>
      <w:r w:rsidRPr="00080375">
        <w:rPr>
          <w:rFonts w:cs="Arial"/>
          <w:lang w:val="en-GB"/>
        </w:rPr>
        <w:t>No proprietary or ownership interest of any kind is granted with respect to the FIX Protocol (or any rights therein).</w:t>
      </w:r>
    </w:p>
    <w:p w14:paraId="197D3EE9" w14:textId="77777777" w:rsidR="00F85F52" w:rsidRPr="00080375" w:rsidRDefault="00F85F52" w:rsidP="00F85F52">
      <w:pPr>
        <w:numPr>
          <w:ilvl w:val="12"/>
          <w:numId w:val="0"/>
        </w:numPr>
        <w:tabs>
          <w:tab w:val="right" w:pos="7560"/>
        </w:tabs>
        <w:rPr>
          <w:rFonts w:cs="Arial"/>
          <w:sz w:val="12"/>
          <w:lang w:val="en-GB"/>
        </w:rPr>
      </w:pPr>
    </w:p>
    <w:p w14:paraId="74E3313B" w14:textId="2A4C8672" w:rsidR="00F85F52" w:rsidRPr="00080375" w:rsidRDefault="00F85F52" w:rsidP="00F85F52">
      <w:pPr>
        <w:numPr>
          <w:ilvl w:val="12"/>
          <w:numId w:val="0"/>
        </w:numPr>
        <w:rPr>
          <w:rFonts w:cs="Arial"/>
          <w:lang w:val="en-GB"/>
        </w:rPr>
      </w:pPr>
      <w:r w:rsidRPr="00080375">
        <w:rPr>
          <w:rFonts w:cs="Arial"/>
          <w:lang w:val="en-GB"/>
        </w:rPr>
        <w:t>Copyright 200</w:t>
      </w:r>
      <w:r w:rsidR="00BB39AF" w:rsidRPr="00080375">
        <w:rPr>
          <w:rFonts w:cs="Arial"/>
          <w:lang w:val="en-GB"/>
        </w:rPr>
        <w:t>3-201</w:t>
      </w:r>
      <w:r w:rsidR="00F842B7">
        <w:rPr>
          <w:rFonts w:cs="Arial"/>
          <w:lang w:val="en-GB"/>
        </w:rPr>
        <w:t>7</w:t>
      </w:r>
      <w:r w:rsidRPr="00080375">
        <w:rPr>
          <w:rFonts w:cs="Arial"/>
          <w:lang w:val="en-GB"/>
        </w:rPr>
        <w:t xml:space="preserve"> FIX Protocol Limited, all rights reserved</w:t>
      </w:r>
      <w:r w:rsidR="00BD39FB" w:rsidRPr="00080375">
        <w:rPr>
          <w:rFonts w:cs="Arial"/>
          <w:lang w:val="en-GB"/>
        </w:rPr>
        <w:t>.</w:t>
      </w:r>
    </w:p>
    <w:p w14:paraId="4AE4944D" w14:textId="77777777" w:rsidR="00F85F52" w:rsidRPr="00080375" w:rsidRDefault="00F85F52" w:rsidP="00E90785">
      <w:pPr>
        <w:pStyle w:val="BodyText"/>
        <w:rPr>
          <w:rFonts w:cs="Arial"/>
          <w:lang w:val="en-GB"/>
        </w:rPr>
      </w:pPr>
    </w:p>
    <w:p w14:paraId="3E1A2F28" w14:textId="77777777" w:rsidR="00640B1F" w:rsidRPr="00080375" w:rsidRDefault="00640B1F" w:rsidP="00640B1F">
      <w:pPr>
        <w:pStyle w:val="Title"/>
        <w:rPr>
          <w:lang w:val="en-GB"/>
        </w:rPr>
      </w:pPr>
      <w:r w:rsidRPr="00080375">
        <w:rPr>
          <w:lang w:val="en-GB"/>
        </w:rPr>
        <w:br w:type="page"/>
      </w:r>
      <w:bookmarkStart w:id="5" w:name="_Toc105491795"/>
      <w:r w:rsidRPr="00080375">
        <w:rPr>
          <w:lang w:val="en-GB"/>
        </w:rPr>
        <w:lastRenderedPageBreak/>
        <w:t>Table of Contents</w:t>
      </w:r>
      <w:bookmarkEnd w:id="5"/>
    </w:p>
    <w:p w14:paraId="0D8FDB90" w14:textId="77777777" w:rsidR="00640B1F" w:rsidRPr="00080375" w:rsidRDefault="00BD39FB" w:rsidP="003704FE">
      <w:pPr>
        <w:pBdr>
          <w:top w:val="double" w:sz="4" w:space="1" w:color="008000"/>
          <w:left w:val="double" w:sz="4" w:space="4" w:color="008000"/>
          <w:bottom w:val="double" w:sz="4" w:space="1" w:color="008000"/>
          <w:right w:val="double" w:sz="4" w:space="4" w:color="008000"/>
        </w:pBdr>
        <w:rPr>
          <w:rFonts w:cs="Arial"/>
          <w:vanish/>
          <w:color w:val="008000"/>
          <w:szCs w:val="20"/>
          <w:lang w:val="en-GB"/>
        </w:rPr>
      </w:pPr>
      <w:r w:rsidRPr="00080375">
        <w:rPr>
          <w:rFonts w:cs="Arial"/>
          <w:vanish/>
          <w:color w:val="008000"/>
          <w:szCs w:val="20"/>
          <w:lang w:val="en-GB"/>
        </w:rPr>
        <w:t>Auto-generate t</w:t>
      </w:r>
      <w:r w:rsidR="00E90785" w:rsidRPr="00080375">
        <w:rPr>
          <w:rFonts w:cs="Arial"/>
          <w:vanish/>
          <w:color w:val="008000"/>
          <w:szCs w:val="20"/>
          <w:lang w:val="en-GB"/>
        </w:rPr>
        <w:t xml:space="preserve">he </w:t>
      </w:r>
      <w:r w:rsidRPr="00080375">
        <w:rPr>
          <w:rFonts w:cs="Arial"/>
          <w:vanish/>
          <w:color w:val="008000"/>
          <w:szCs w:val="20"/>
          <w:lang w:val="en-GB"/>
        </w:rPr>
        <w:t xml:space="preserve">entire </w:t>
      </w:r>
      <w:r w:rsidR="00E90785" w:rsidRPr="00080375">
        <w:rPr>
          <w:rFonts w:cs="Arial"/>
          <w:vanish/>
          <w:color w:val="008000"/>
          <w:szCs w:val="20"/>
          <w:lang w:val="en-GB"/>
        </w:rPr>
        <w:t>table of content</w:t>
      </w:r>
      <w:r w:rsidRPr="00080375">
        <w:rPr>
          <w:rFonts w:cs="Arial"/>
          <w:vanish/>
          <w:color w:val="008000"/>
          <w:szCs w:val="20"/>
          <w:lang w:val="en-GB"/>
        </w:rPr>
        <w:t>s</w:t>
      </w:r>
      <w:r w:rsidR="00E90785" w:rsidRPr="00080375">
        <w:rPr>
          <w:rFonts w:cs="Arial"/>
          <w:vanish/>
          <w:color w:val="008000"/>
          <w:szCs w:val="20"/>
          <w:lang w:val="en-GB"/>
        </w:rPr>
        <w:t xml:space="preserve"> </w:t>
      </w:r>
      <w:r w:rsidRPr="00080375">
        <w:rPr>
          <w:rFonts w:cs="Arial"/>
          <w:vanish/>
          <w:color w:val="008000"/>
          <w:szCs w:val="20"/>
          <w:lang w:val="en-GB"/>
        </w:rPr>
        <w:t xml:space="preserve">(press F9) </w:t>
      </w:r>
      <w:r w:rsidR="004C5FAF" w:rsidRPr="00080375">
        <w:rPr>
          <w:rFonts w:cs="Arial"/>
          <w:vanish/>
          <w:color w:val="008000"/>
          <w:szCs w:val="20"/>
          <w:lang w:val="en-GB"/>
        </w:rPr>
        <w:t xml:space="preserve">here </w:t>
      </w:r>
      <w:r w:rsidRPr="00080375">
        <w:rPr>
          <w:rFonts w:cs="Arial"/>
          <w:vanish/>
          <w:color w:val="008000"/>
          <w:szCs w:val="20"/>
          <w:lang w:val="en-GB"/>
        </w:rPr>
        <w:t xml:space="preserve">- or customize </w:t>
      </w:r>
      <w:r w:rsidR="003704FE" w:rsidRPr="00080375">
        <w:rPr>
          <w:rFonts w:cs="Arial"/>
          <w:vanish/>
          <w:color w:val="008000"/>
          <w:szCs w:val="20"/>
          <w:lang w:val="en-GB"/>
        </w:rPr>
        <w:t>up to 3</w:t>
      </w:r>
      <w:r w:rsidRPr="00080375">
        <w:rPr>
          <w:rFonts w:cs="Arial"/>
          <w:vanish/>
          <w:color w:val="008000"/>
          <w:szCs w:val="20"/>
          <w:lang w:val="en-GB"/>
        </w:rPr>
        <w:t xml:space="preserve"> </w:t>
      </w:r>
      <w:r w:rsidR="003704FE" w:rsidRPr="00080375">
        <w:rPr>
          <w:rFonts w:cs="Arial"/>
          <w:vanish/>
          <w:color w:val="008000"/>
          <w:szCs w:val="20"/>
          <w:lang w:val="en-GB"/>
        </w:rPr>
        <w:t>levels deep</w:t>
      </w:r>
      <w:r w:rsidRPr="00080375">
        <w:rPr>
          <w:rFonts w:cs="Arial"/>
          <w:vanish/>
          <w:color w:val="008000"/>
          <w:szCs w:val="20"/>
          <w:lang w:val="en-GB"/>
        </w:rPr>
        <w:t>.</w:t>
      </w:r>
    </w:p>
    <w:p w14:paraId="62E6E878" w14:textId="77777777" w:rsidR="00696841" w:rsidRPr="00080375" w:rsidRDefault="00696841">
      <w:pPr>
        <w:rPr>
          <w:rFonts w:cs="Arial"/>
          <w:lang w:val="en-GB"/>
        </w:rPr>
      </w:pPr>
    </w:p>
    <w:p w14:paraId="31A80793" w14:textId="77777777" w:rsidR="000F58B9" w:rsidRDefault="007018C6">
      <w:pPr>
        <w:pStyle w:val="TOC1"/>
        <w:rPr>
          <w:rFonts w:asciiTheme="minorHAnsi" w:eastAsiaTheme="minorEastAsia" w:hAnsiTheme="minorHAnsi" w:cstheme="minorBidi"/>
          <w:noProof/>
          <w:sz w:val="24"/>
          <w:lang w:val="en-GB" w:eastAsia="en-GB"/>
        </w:rPr>
      </w:pPr>
      <w:r w:rsidRPr="00396B13">
        <w:rPr>
          <w:lang w:val="en-GB"/>
        </w:rPr>
        <w:fldChar w:fldCharType="begin"/>
      </w:r>
      <w:r w:rsidR="000B410A" w:rsidRPr="00396B13">
        <w:rPr>
          <w:lang w:val="en-GB"/>
        </w:rPr>
        <w:instrText xml:space="preserve"> TOC \o "2-3" \h \z \t "Heading 1,1" </w:instrText>
      </w:r>
      <w:r w:rsidRPr="00396B13">
        <w:rPr>
          <w:lang w:val="en-GB"/>
        </w:rPr>
        <w:fldChar w:fldCharType="separate"/>
      </w:r>
      <w:hyperlink w:anchor="_Toc495562545" w:history="1">
        <w:r w:rsidR="000F58B9" w:rsidRPr="00E02757">
          <w:rPr>
            <w:rStyle w:val="Hyperlink"/>
            <w:noProof/>
            <w:lang w:val="en-GB"/>
          </w:rPr>
          <w:t>Document History</w:t>
        </w:r>
        <w:r w:rsidR="000F58B9">
          <w:rPr>
            <w:noProof/>
            <w:webHidden/>
          </w:rPr>
          <w:tab/>
        </w:r>
        <w:r w:rsidR="000F58B9">
          <w:rPr>
            <w:noProof/>
            <w:webHidden/>
          </w:rPr>
          <w:fldChar w:fldCharType="begin"/>
        </w:r>
        <w:r w:rsidR="000F58B9">
          <w:rPr>
            <w:noProof/>
            <w:webHidden/>
          </w:rPr>
          <w:instrText xml:space="preserve"> PAGEREF _Toc495562545 \h </w:instrText>
        </w:r>
        <w:r w:rsidR="000F58B9">
          <w:rPr>
            <w:noProof/>
            <w:webHidden/>
          </w:rPr>
        </w:r>
        <w:r w:rsidR="000F58B9">
          <w:rPr>
            <w:noProof/>
            <w:webHidden/>
          </w:rPr>
          <w:fldChar w:fldCharType="separate"/>
        </w:r>
        <w:r w:rsidR="000F58B9">
          <w:rPr>
            <w:noProof/>
            <w:webHidden/>
          </w:rPr>
          <w:t>4</w:t>
        </w:r>
        <w:r w:rsidR="000F58B9">
          <w:rPr>
            <w:noProof/>
            <w:webHidden/>
          </w:rPr>
          <w:fldChar w:fldCharType="end"/>
        </w:r>
      </w:hyperlink>
    </w:p>
    <w:p w14:paraId="16376D4B" w14:textId="77777777" w:rsidR="000F58B9" w:rsidRDefault="00417A29">
      <w:pPr>
        <w:pStyle w:val="TOC1"/>
        <w:rPr>
          <w:rFonts w:asciiTheme="minorHAnsi" w:eastAsiaTheme="minorEastAsia" w:hAnsiTheme="minorHAnsi" w:cstheme="minorBidi"/>
          <w:noProof/>
          <w:sz w:val="24"/>
          <w:lang w:val="en-GB" w:eastAsia="en-GB"/>
        </w:rPr>
      </w:pPr>
      <w:hyperlink w:anchor="_Toc495562546" w:history="1">
        <w:r w:rsidR="000F58B9" w:rsidRPr="00E02757">
          <w:rPr>
            <w:rStyle w:val="Hyperlink"/>
            <w:noProof/>
            <w:lang w:val="en-GB"/>
          </w:rPr>
          <w:t>Definitions</w:t>
        </w:r>
        <w:r w:rsidR="000F58B9">
          <w:rPr>
            <w:noProof/>
            <w:webHidden/>
          </w:rPr>
          <w:tab/>
        </w:r>
        <w:r w:rsidR="000F58B9">
          <w:rPr>
            <w:noProof/>
            <w:webHidden/>
          </w:rPr>
          <w:fldChar w:fldCharType="begin"/>
        </w:r>
        <w:r w:rsidR="000F58B9">
          <w:rPr>
            <w:noProof/>
            <w:webHidden/>
          </w:rPr>
          <w:instrText xml:space="preserve"> PAGEREF _Toc495562546 \h </w:instrText>
        </w:r>
        <w:r w:rsidR="000F58B9">
          <w:rPr>
            <w:noProof/>
            <w:webHidden/>
          </w:rPr>
        </w:r>
        <w:r w:rsidR="000F58B9">
          <w:rPr>
            <w:noProof/>
            <w:webHidden/>
          </w:rPr>
          <w:fldChar w:fldCharType="separate"/>
        </w:r>
        <w:r w:rsidR="000F58B9">
          <w:rPr>
            <w:noProof/>
            <w:webHidden/>
          </w:rPr>
          <w:t>6</w:t>
        </w:r>
        <w:r w:rsidR="000F58B9">
          <w:rPr>
            <w:noProof/>
            <w:webHidden/>
          </w:rPr>
          <w:fldChar w:fldCharType="end"/>
        </w:r>
      </w:hyperlink>
    </w:p>
    <w:p w14:paraId="67689662" w14:textId="77777777" w:rsidR="000F58B9" w:rsidRDefault="00417A29">
      <w:pPr>
        <w:pStyle w:val="TOC1"/>
        <w:tabs>
          <w:tab w:val="left" w:pos="450"/>
        </w:tabs>
        <w:rPr>
          <w:rFonts w:asciiTheme="minorHAnsi" w:eastAsiaTheme="minorEastAsia" w:hAnsiTheme="minorHAnsi" w:cstheme="minorBidi"/>
          <w:noProof/>
          <w:sz w:val="24"/>
          <w:lang w:val="en-GB" w:eastAsia="en-GB"/>
        </w:rPr>
      </w:pPr>
      <w:hyperlink w:anchor="_Toc495562547" w:history="1">
        <w:r w:rsidR="000F58B9" w:rsidRPr="00E02757">
          <w:rPr>
            <w:rStyle w:val="Hyperlink"/>
            <w:noProof/>
            <w:lang w:val="en-GB"/>
          </w:rPr>
          <w:t>1</w:t>
        </w:r>
        <w:r w:rsidR="000F58B9">
          <w:rPr>
            <w:rFonts w:asciiTheme="minorHAnsi" w:eastAsiaTheme="minorEastAsia" w:hAnsiTheme="minorHAnsi" w:cstheme="minorBidi"/>
            <w:noProof/>
            <w:sz w:val="24"/>
            <w:lang w:val="en-GB" w:eastAsia="en-GB"/>
          </w:rPr>
          <w:tab/>
        </w:r>
        <w:r w:rsidR="000F58B9" w:rsidRPr="00E02757">
          <w:rPr>
            <w:rStyle w:val="Hyperlink"/>
            <w:noProof/>
            <w:lang w:val="en-GB"/>
          </w:rPr>
          <w:t>Executive Summary</w:t>
        </w:r>
        <w:r w:rsidR="000F58B9">
          <w:rPr>
            <w:noProof/>
            <w:webHidden/>
          </w:rPr>
          <w:tab/>
        </w:r>
        <w:r w:rsidR="000F58B9">
          <w:rPr>
            <w:noProof/>
            <w:webHidden/>
          </w:rPr>
          <w:fldChar w:fldCharType="begin"/>
        </w:r>
        <w:r w:rsidR="000F58B9">
          <w:rPr>
            <w:noProof/>
            <w:webHidden/>
          </w:rPr>
          <w:instrText xml:space="preserve"> PAGEREF _Toc495562547 \h </w:instrText>
        </w:r>
        <w:r w:rsidR="000F58B9">
          <w:rPr>
            <w:noProof/>
            <w:webHidden/>
          </w:rPr>
        </w:r>
        <w:r w:rsidR="000F58B9">
          <w:rPr>
            <w:noProof/>
            <w:webHidden/>
          </w:rPr>
          <w:fldChar w:fldCharType="separate"/>
        </w:r>
        <w:r w:rsidR="000F58B9">
          <w:rPr>
            <w:noProof/>
            <w:webHidden/>
          </w:rPr>
          <w:t>9</w:t>
        </w:r>
        <w:r w:rsidR="000F58B9">
          <w:rPr>
            <w:noProof/>
            <w:webHidden/>
          </w:rPr>
          <w:fldChar w:fldCharType="end"/>
        </w:r>
      </w:hyperlink>
    </w:p>
    <w:p w14:paraId="325E1A06" w14:textId="77777777" w:rsidR="000F58B9" w:rsidRDefault="00417A29">
      <w:pPr>
        <w:pStyle w:val="TOC1"/>
        <w:tabs>
          <w:tab w:val="left" w:pos="450"/>
        </w:tabs>
        <w:rPr>
          <w:rFonts w:asciiTheme="minorHAnsi" w:eastAsiaTheme="minorEastAsia" w:hAnsiTheme="minorHAnsi" w:cstheme="minorBidi"/>
          <w:noProof/>
          <w:sz w:val="24"/>
          <w:lang w:val="en-GB" w:eastAsia="en-GB"/>
        </w:rPr>
      </w:pPr>
      <w:hyperlink w:anchor="_Toc495562548" w:history="1">
        <w:r w:rsidR="000F58B9" w:rsidRPr="00E02757">
          <w:rPr>
            <w:rStyle w:val="Hyperlink"/>
            <w:noProof/>
            <w:lang w:val="en-GB"/>
          </w:rPr>
          <w:t>2</w:t>
        </w:r>
        <w:r w:rsidR="000F58B9">
          <w:rPr>
            <w:rFonts w:asciiTheme="minorHAnsi" w:eastAsiaTheme="minorEastAsia" w:hAnsiTheme="minorHAnsi" w:cstheme="minorBidi"/>
            <w:noProof/>
            <w:sz w:val="24"/>
            <w:lang w:val="en-GB" w:eastAsia="en-GB"/>
          </w:rPr>
          <w:tab/>
        </w:r>
        <w:r w:rsidR="000F58B9" w:rsidRPr="00E02757">
          <w:rPr>
            <w:rStyle w:val="Hyperlink"/>
            <w:noProof/>
            <w:lang w:val="en-GB"/>
          </w:rPr>
          <w:t>Objective</w:t>
        </w:r>
        <w:r w:rsidR="000F58B9">
          <w:rPr>
            <w:noProof/>
            <w:webHidden/>
          </w:rPr>
          <w:tab/>
        </w:r>
        <w:r w:rsidR="000F58B9">
          <w:rPr>
            <w:noProof/>
            <w:webHidden/>
          </w:rPr>
          <w:fldChar w:fldCharType="begin"/>
        </w:r>
        <w:r w:rsidR="000F58B9">
          <w:rPr>
            <w:noProof/>
            <w:webHidden/>
          </w:rPr>
          <w:instrText xml:space="preserve"> PAGEREF _Toc495562548 \h </w:instrText>
        </w:r>
        <w:r w:rsidR="000F58B9">
          <w:rPr>
            <w:noProof/>
            <w:webHidden/>
          </w:rPr>
        </w:r>
        <w:r w:rsidR="000F58B9">
          <w:rPr>
            <w:noProof/>
            <w:webHidden/>
          </w:rPr>
          <w:fldChar w:fldCharType="separate"/>
        </w:r>
        <w:r w:rsidR="000F58B9">
          <w:rPr>
            <w:noProof/>
            <w:webHidden/>
          </w:rPr>
          <w:t>10</w:t>
        </w:r>
        <w:r w:rsidR="000F58B9">
          <w:rPr>
            <w:noProof/>
            <w:webHidden/>
          </w:rPr>
          <w:fldChar w:fldCharType="end"/>
        </w:r>
      </w:hyperlink>
    </w:p>
    <w:p w14:paraId="5F192BA6" w14:textId="77777777" w:rsidR="000F58B9" w:rsidRDefault="00417A29">
      <w:pPr>
        <w:pStyle w:val="TOC1"/>
        <w:tabs>
          <w:tab w:val="left" w:pos="450"/>
        </w:tabs>
        <w:rPr>
          <w:rFonts w:asciiTheme="minorHAnsi" w:eastAsiaTheme="minorEastAsia" w:hAnsiTheme="minorHAnsi" w:cstheme="minorBidi"/>
          <w:noProof/>
          <w:sz w:val="24"/>
          <w:lang w:val="en-GB" w:eastAsia="en-GB"/>
        </w:rPr>
      </w:pPr>
      <w:hyperlink w:anchor="_Toc495562549" w:history="1">
        <w:r w:rsidR="000F58B9" w:rsidRPr="00E02757">
          <w:rPr>
            <w:rStyle w:val="Hyperlink"/>
            <w:noProof/>
            <w:lang w:val="en-GB"/>
          </w:rPr>
          <w:t>3</w:t>
        </w:r>
        <w:r w:rsidR="000F58B9">
          <w:rPr>
            <w:rFonts w:asciiTheme="minorHAnsi" w:eastAsiaTheme="minorEastAsia" w:hAnsiTheme="minorHAnsi" w:cstheme="minorBidi"/>
            <w:noProof/>
            <w:sz w:val="24"/>
            <w:lang w:val="en-GB" w:eastAsia="en-GB"/>
          </w:rPr>
          <w:tab/>
        </w:r>
        <w:r w:rsidR="000F58B9" w:rsidRPr="00E02757">
          <w:rPr>
            <w:rStyle w:val="Hyperlink"/>
            <w:noProof/>
            <w:lang w:val="en-GB"/>
          </w:rPr>
          <w:t>Document Scope</w:t>
        </w:r>
        <w:r w:rsidR="000F58B9">
          <w:rPr>
            <w:noProof/>
            <w:webHidden/>
          </w:rPr>
          <w:tab/>
        </w:r>
        <w:r w:rsidR="000F58B9">
          <w:rPr>
            <w:noProof/>
            <w:webHidden/>
          </w:rPr>
          <w:fldChar w:fldCharType="begin"/>
        </w:r>
        <w:r w:rsidR="000F58B9">
          <w:rPr>
            <w:noProof/>
            <w:webHidden/>
          </w:rPr>
          <w:instrText xml:space="preserve"> PAGEREF _Toc495562549 \h </w:instrText>
        </w:r>
        <w:r w:rsidR="000F58B9">
          <w:rPr>
            <w:noProof/>
            <w:webHidden/>
          </w:rPr>
        </w:r>
        <w:r w:rsidR="000F58B9">
          <w:rPr>
            <w:noProof/>
            <w:webHidden/>
          </w:rPr>
          <w:fldChar w:fldCharType="separate"/>
        </w:r>
        <w:r w:rsidR="000F58B9">
          <w:rPr>
            <w:noProof/>
            <w:webHidden/>
          </w:rPr>
          <w:t>10</w:t>
        </w:r>
        <w:r w:rsidR="000F58B9">
          <w:rPr>
            <w:noProof/>
            <w:webHidden/>
          </w:rPr>
          <w:fldChar w:fldCharType="end"/>
        </w:r>
      </w:hyperlink>
    </w:p>
    <w:p w14:paraId="63AC667B" w14:textId="77777777" w:rsidR="000F58B9" w:rsidRDefault="00417A29">
      <w:pPr>
        <w:pStyle w:val="TOC1"/>
        <w:tabs>
          <w:tab w:val="left" w:pos="450"/>
        </w:tabs>
        <w:rPr>
          <w:rFonts w:asciiTheme="minorHAnsi" w:eastAsiaTheme="minorEastAsia" w:hAnsiTheme="minorHAnsi" w:cstheme="minorBidi"/>
          <w:noProof/>
          <w:sz w:val="24"/>
          <w:lang w:val="en-GB" w:eastAsia="en-GB"/>
        </w:rPr>
      </w:pPr>
      <w:hyperlink w:anchor="_Toc495562550" w:history="1">
        <w:r w:rsidR="000F58B9" w:rsidRPr="00E02757">
          <w:rPr>
            <w:rStyle w:val="Hyperlink"/>
            <w:noProof/>
            <w:lang w:val="en-GB"/>
          </w:rPr>
          <w:t>4</w:t>
        </w:r>
        <w:r w:rsidR="000F58B9">
          <w:rPr>
            <w:rFonts w:asciiTheme="minorHAnsi" w:eastAsiaTheme="minorEastAsia" w:hAnsiTheme="minorHAnsi" w:cstheme="minorBidi"/>
            <w:noProof/>
            <w:sz w:val="24"/>
            <w:lang w:val="en-GB" w:eastAsia="en-GB"/>
          </w:rPr>
          <w:tab/>
        </w:r>
        <w:r w:rsidR="000F58B9" w:rsidRPr="00E02757">
          <w:rPr>
            <w:rStyle w:val="Hyperlink"/>
            <w:noProof/>
            <w:lang w:val="en-GB"/>
          </w:rPr>
          <w:t>Target Audience</w:t>
        </w:r>
        <w:r w:rsidR="000F58B9">
          <w:rPr>
            <w:noProof/>
            <w:webHidden/>
          </w:rPr>
          <w:tab/>
        </w:r>
        <w:r w:rsidR="000F58B9">
          <w:rPr>
            <w:noProof/>
            <w:webHidden/>
          </w:rPr>
          <w:fldChar w:fldCharType="begin"/>
        </w:r>
        <w:r w:rsidR="000F58B9">
          <w:rPr>
            <w:noProof/>
            <w:webHidden/>
          </w:rPr>
          <w:instrText xml:space="preserve"> PAGEREF _Toc495562550 \h </w:instrText>
        </w:r>
        <w:r w:rsidR="000F58B9">
          <w:rPr>
            <w:noProof/>
            <w:webHidden/>
          </w:rPr>
        </w:r>
        <w:r w:rsidR="000F58B9">
          <w:rPr>
            <w:noProof/>
            <w:webHidden/>
          </w:rPr>
          <w:fldChar w:fldCharType="separate"/>
        </w:r>
        <w:r w:rsidR="000F58B9">
          <w:rPr>
            <w:noProof/>
            <w:webHidden/>
          </w:rPr>
          <w:t>11</w:t>
        </w:r>
        <w:r w:rsidR="000F58B9">
          <w:rPr>
            <w:noProof/>
            <w:webHidden/>
          </w:rPr>
          <w:fldChar w:fldCharType="end"/>
        </w:r>
      </w:hyperlink>
    </w:p>
    <w:p w14:paraId="67E45B17" w14:textId="77777777" w:rsidR="000F58B9" w:rsidRDefault="00417A29">
      <w:pPr>
        <w:pStyle w:val="TOC1"/>
        <w:tabs>
          <w:tab w:val="left" w:pos="450"/>
        </w:tabs>
        <w:rPr>
          <w:rFonts w:asciiTheme="minorHAnsi" w:eastAsiaTheme="minorEastAsia" w:hAnsiTheme="minorHAnsi" w:cstheme="minorBidi"/>
          <w:noProof/>
          <w:sz w:val="24"/>
          <w:lang w:val="en-GB" w:eastAsia="en-GB"/>
        </w:rPr>
      </w:pPr>
      <w:hyperlink w:anchor="_Toc495562551" w:history="1">
        <w:r w:rsidR="000F58B9" w:rsidRPr="00E02757">
          <w:rPr>
            <w:rStyle w:val="Hyperlink"/>
            <w:noProof/>
            <w:lang w:val="en-GB"/>
          </w:rPr>
          <w:t>5</w:t>
        </w:r>
        <w:r w:rsidR="000F58B9">
          <w:rPr>
            <w:rFonts w:asciiTheme="minorHAnsi" w:eastAsiaTheme="minorEastAsia" w:hAnsiTheme="minorHAnsi" w:cstheme="minorBidi"/>
            <w:noProof/>
            <w:sz w:val="24"/>
            <w:lang w:val="en-GB" w:eastAsia="en-GB"/>
          </w:rPr>
          <w:tab/>
        </w:r>
        <w:r w:rsidR="000F58B9" w:rsidRPr="00E02757">
          <w:rPr>
            <w:rStyle w:val="Hyperlink"/>
            <w:noProof/>
            <w:lang w:val="en-GB"/>
          </w:rPr>
          <w:t>Scope of Reporting</w:t>
        </w:r>
        <w:r w:rsidR="000F58B9">
          <w:rPr>
            <w:noProof/>
            <w:webHidden/>
          </w:rPr>
          <w:tab/>
        </w:r>
        <w:r w:rsidR="000F58B9">
          <w:rPr>
            <w:noProof/>
            <w:webHidden/>
          </w:rPr>
          <w:fldChar w:fldCharType="begin"/>
        </w:r>
        <w:r w:rsidR="000F58B9">
          <w:rPr>
            <w:noProof/>
            <w:webHidden/>
          </w:rPr>
          <w:instrText xml:space="preserve"> PAGEREF _Toc495562551 \h </w:instrText>
        </w:r>
        <w:r w:rsidR="000F58B9">
          <w:rPr>
            <w:noProof/>
            <w:webHidden/>
          </w:rPr>
        </w:r>
        <w:r w:rsidR="000F58B9">
          <w:rPr>
            <w:noProof/>
            <w:webHidden/>
          </w:rPr>
          <w:fldChar w:fldCharType="separate"/>
        </w:r>
        <w:r w:rsidR="000F58B9">
          <w:rPr>
            <w:noProof/>
            <w:webHidden/>
          </w:rPr>
          <w:t>12</w:t>
        </w:r>
        <w:r w:rsidR="000F58B9">
          <w:rPr>
            <w:noProof/>
            <w:webHidden/>
          </w:rPr>
          <w:fldChar w:fldCharType="end"/>
        </w:r>
      </w:hyperlink>
    </w:p>
    <w:p w14:paraId="3E877C77" w14:textId="77777777" w:rsidR="000F58B9" w:rsidRDefault="00417A29">
      <w:pPr>
        <w:pStyle w:val="TOC2"/>
        <w:rPr>
          <w:rFonts w:asciiTheme="minorHAnsi" w:eastAsiaTheme="minorEastAsia" w:hAnsiTheme="minorHAnsi" w:cstheme="minorBidi"/>
          <w:sz w:val="24"/>
          <w:lang w:val="en-GB" w:eastAsia="en-GB"/>
        </w:rPr>
      </w:pPr>
      <w:hyperlink w:anchor="_Toc495562552" w:history="1">
        <w:r w:rsidR="000F58B9" w:rsidRPr="00E02757">
          <w:rPr>
            <w:rStyle w:val="Hyperlink"/>
            <w:lang w:val="en-GB"/>
          </w:rPr>
          <w:t>5.1</w:t>
        </w:r>
        <w:r w:rsidR="000F58B9">
          <w:rPr>
            <w:rFonts w:asciiTheme="minorHAnsi" w:eastAsiaTheme="minorEastAsia" w:hAnsiTheme="minorHAnsi" w:cstheme="minorBidi"/>
            <w:sz w:val="24"/>
            <w:lang w:val="en-GB" w:eastAsia="en-GB"/>
          </w:rPr>
          <w:tab/>
        </w:r>
        <w:r w:rsidR="000F58B9" w:rsidRPr="00E02757">
          <w:rPr>
            <w:rStyle w:val="Hyperlink"/>
            <w:lang w:val="en-GB"/>
          </w:rPr>
          <w:t>Equities and Equity Type Instruments</w:t>
        </w:r>
        <w:r w:rsidR="000F58B9">
          <w:rPr>
            <w:webHidden/>
          </w:rPr>
          <w:tab/>
        </w:r>
        <w:r w:rsidR="000F58B9">
          <w:rPr>
            <w:webHidden/>
          </w:rPr>
          <w:fldChar w:fldCharType="begin"/>
        </w:r>
        <w:r w:rsidR="000F58B9">
          <w:rPr>
            <w:webHidden/>
          </w:rPr>
          <w:instrText xml:space="preserve"> PAGEREF _Toc495562552 \h </w:instrText>
        </w:r>
        <w:r w:rsidR="000F58B9">
          <w:rPr>
            <w:webHidden/>
          </w:rPr>
        </w:r>
        <w:r w:rsidR="000F58B9">
          <w:rPr>
            <w:webHidden/>
          </w:rPr>
          <w:fldChar w:fldCharType="separate"/>
        </w:r>
        <w:r w:rsidR="000F58B9">
          <w:rPr>
            <w:webHidden/>
          </w:rPr>
          <w:t>12</w:t>
        </w:r>
        <w:r w:rsidR="000F58B9">
          <w:rPr>
            <w:webHidden/>
          </w:rPr>
          <w:fldChar w:fldCharType="end"/>
        </w:r>
      </w:hyperlink>
    </w:p>
    <w:p w14:paraId="6EBEA56A" w14:textId="77777777" w:rsidR="000F58B9" w:rsidRDefault="00417A29">
      <w:pPr>
        <w:pStyle w:val="TOC2"/>
        <w:rPr>
          <w:rFonts w:asciiTheme="minorHAnsi" w:eastAsiaTheme="minorEastAsia" w:hAnsiTheme="minorHAnsi" w:cstheme="minorBidi"/>
          <w:sz w:val="24"/>
          <w:lang w:val="en-GB" w:eastAsia="en-GB"/>
        </w:rPr>
      </w:pPr>
      <w:hyperlink w:anchor="_Toc495562553" w:history="1">
        <w:r w:rsidR="000F58B9" w:rsidRPr="00E02757">
          <w:rPr>
            <w:rStyle w:val="Hyperlink"/>
            <w:lang w:val="en-GB"/>
          </w:rPr>
          <w:t>5.2</w:t>
        </w:r>
        <w:r w:rsidR="000F58B9">
          <w:rPr>
            <w:rFonts w:asciiTheme="minorHAnsi" w:eastAsiaTheme="minorEastAsia" w:hAnsiTheme="minorHAnsi" w:cstheme="minorBidi"/>
            <w:sz w:val="24"/>
            <w:lang w:val="en-GB" w:eastAsia="en-GB"/>
          </w:rPr>
          <w:tab/>
        </w:r>
        <w:r w:rsidR="000F58B9" w:rsidRPr="00E02757">
          <w:rPr>
            <w:rStyle w:val="Hyperlink"/>
            <w:lang w:val="en-GB"/>
          </w:rPr>
          <w:t>Bonds</w:t>
        </w:r>
        <w:r w:rsidR="000F58B9">
          <w:rPr>
            <w:webHidden/>
          </w:rPr>
          <w:tab/>
        </w:r>
        <w:r w:rsidR="000F58B9">
          <w:rPr>
            <w:webHidden/>
          </w:rPr>
          <w:fldChar w:fldCharType="begin"/>
        </w:r>
        <w:r w:rsidR="000F58B9">
          <w:rPr>
            <w:webHidden/>
          </w:rPr>
          <w:instrText xml:space="preserve"> PAGEREF _Toc495562553 \h </w:instrText>
        </w:r>
        <w:r w:rsidR="000F58B9">
          <w:rPr>
            <w:webHidden/>
          </w:rPr>
        </w:r>
        <w:r w:rsidR="000F58B9">
          <w:rPr>
            <w:webHidden/>
          </w:rPr>
          <w:fldChar w:fldCharType="separate"/>
        </w:r>
        <w:r w:rsidR="000F58B9">
          <w:rPr>
            <w:webHidden/>
          </w:rPr>
          <w:t>16</w:t>
        </w:r>
        <w:r w:rsidR="000F58B9">
          <w:rPr>
            <w:webHidden/>
          </w:rPr>
          <w:fldChar w:fldCharType="end"/>
        </w:r>
      </w:hyperlink>
    </w:p>
    <w:p w14:paraId="22DCB897" w14:textId="77777777" w:rsidR="000F58B9" w:rsidRDefault="00417A29">
      <w:pPr>
        <w:pStyle w:val="TOC2"/>
        <w:rPr>
          <w:rFonts w:asciiTheme="minorHAnsi" w:eastAsiaTheme="minorEastAsia" w:hAnsiTheme="minorHAnsi" w:cstheme="minorBidi"/>
          <w:sz w:val="24"/>
          <w:lang w:val="en-GB" w:eastAsia="en-GB"/>
        </w:rPr>
      </w:pPr>
      <w:hyperlink w:anchor="_Toc495562554" w:history="1">
        <w:r w:rsidR="000F58B9" w:rsidRPr="00E02757">
          <w:rPr>
            <w:rStyle w:val="Hyperlink"/>
            <w:lang w:val="en-GB"/>
          </w:rPr>
          <w:t>5.3</w:t>
        </w:r>
        <w:r w:rsidR="000F58B9">
          <w:rPr>
            <w:rFonts w:asciiTheme="minorHAnsi" w:eastAsiaTheme="minorEastAsia" w:hAnsiTheme="minorHAnsi" w:cstheme="minorBidi"/>
            <w:sz w:val="24"/>
            <w:lang w:val="en-GB" w:eastAsia="en-GB"/>
          </w:rPr>
          <w:tab/>
        </w:r>
        <w:r w:rsidR="000F58B9" w:rsidRPr="00E02757">
          <w:rPr>
            <w:rStyle w:val="Hyperlink"/>
            <w:lang w:val="en-GB"/>
          </w:rPr>
          <w:t>Derivatives</w:t>
        </w:r>
        <w:r w:rsidR="000F58B9">
          <w:rPr>
            <w:webHidden/>
          </w:rPr>
          <w:tab/>
        </w:r>
        <w:r w:rsidR="000F58B9">
          <w:rPr>
            <w:webHidden/>
          </w:rPr>
          <w:fldChar w:fldCharType="begin"/>
        </w:r>
        <w:r w:rsidR="000F58B9">
          <w:rPr>
            <w:webHidden/>
          </w:rPr>
          <w:instrText xml:space="preserve"> PAGEREF _Toc495562554 \h </w:instrText>
        </w:r>
        <w:r w:rsidR="000F58B9">
          <w:rPr>
            <w:webHidden/>
          </w:rPr>
        </w:r>
        <w:r w:rsidR="000F58B9">
          <w:rPr>
            <w:webHidden/>
          </w:rPr>
          <w:fldChar w:fldCharType="separate"/>
        </w:r>
        <w:r w:rsidR="000F58B9">
          <w:rPr>
            <w:webHidden/>
          </w:rPr>
          <w:t>19</w:t>
        </w:r>
        <w:r w:rsidR="000F58B9">
          <w:rPr>
            <w:webHidden/>
          </w:rPr>
          <w:fldChar w:fldCharType="end"/>
        </w:r>
      </w:hyperlink>
    </w:p>
    <w:p w14:paraId="08A22DAF" w14:textId="77777777" w:rsidR="000F58B9" w:rsidRDefault="00417A29">
      <w:pPr>
        <w:pStyle w:val="TOC1"/>
        <w:tabs>
          <w:tab w:val="left" w:pos="450"/>
        </w:tabs>
        <w:rPr>
          <w:rFonts w:asciiTheme="minorHAnsi" w:eastAsiaTheme="minorEastAsia" w:hAnsiTheme="minorHAnsi" w:cstheme="minorBidi"/>
          <w:noProof/>
          <w:sz w:val="24"/>
          <w:lang w:val="en-GB" w:eastAsia="en-GB"/>
        </w:rPr>
      </w:pPr>
      <w:hyperlink w:anchor="_Toc495562555" w:history="1">
        <w:r w:rsidR="000F58B9" w:rsidRPr="00E02757">
          <w:rPr>
            <w:rStyle w:val="Hyperlink"/>
            <w:noProof/>
            <w:lang w:val="en-GB"/>
          </w:rPr>
          <w:t>6</w:t>
        </w:r>
        <w:r w:rsidR="000F58B9">
          <w:rPr>
            <w:rFonts w:asciiTheme="minorHAnsi" w:eastAsiaTheme="minorEastAsia" w:hAnsiTheme="minorHAnsi" w:cstheme="minorBidi"/>
            <w:noProof/>
            <w:sz w:val="24"/>
            <w:lang w:val="en-GB" w:eastAsia="en-GB"/>
          </w:rPr>
          <w:tab/>
        </w:r>
        <w:r w:rsidR="000F58B9" w:rsidRPr="00E02757">
          <w:rPr>
            <w:rStyle w:val="Hyperlink"/>
            <w:noProof/>
            <w:lang w:val="en-GB"/>
          </w:rPr>
          <w:t>RTS 27 Reporting Requirements</w:t>
        </w:r>
        <w:r w:rsidR="000F58B9">
          <w:rPr>
            <w:noProof/>
            <w:webHidden/>
          </w:rPr>
          <w:tab/>
        </w:r>
        <w:r w:rsidR="000F58B9">
          <w:rPr>
            <w:noProof/>
            <w:webHidden/>
          </w:rPr>
          <w:fldChar w:fldCharType="begin"/>
        </w:r>
        <w:r w:rsidR="000F58B9">
          <w:rPr>
            <w:noProof/>
            <w:webHidden/>
          </w:rPr>
          <w:instrText xml:space="preserve"> PAGEREF _Toc495562555 \h </w:instrText>
        </w:r>
        <w:r w:rsidR="000F58B9">
          <w:rPr>
            <w:noProof/>
            <w:webHidden/>
          </w:rPr>
        </w:r>
        <w:r w:rsidR="000F58B9">
          <w:rPr>
            <w:noProof/>
            <w:webHidden/>
          </w:rPr>
          <w:fldChar w:fldCharType="separate"/>
        </w:r>
        <w:r w:rsidR="000F58B9">
          <w:rPr>
            <w:noProof/>
            <w:webHidden/>
          </w:rPr>
          <w:t>22</w:t>
        </w:r>
        <w:r w:rsidR="000F58B9">
          <w:rPr>
            <w:noProof/>
            <w:webHidden/>
          </w:rPr>
          <w:fldChar w:fldCharType="end"/>
        </w:r>
      </w:hyperlink>
    </w:p>
    <w:p w14:paraId="50BF4839" w14:textId="77777777" w:rsidR="000F58B9" w:rsidRDefault="00417A29">
      <w:pPr>
        <w:pStyle w:val="TOC2"/>
        <w:rPr>
          <w:rFonts w:asciiTheme="minorHAnsi" w:eastAsiaTheme="minorEastAsia" w:hAnsiTheme="minorHAnsi" w:cstheme="minorBidi"/>
          <w:sz w:val="24"/>
          <w:lang w:val="en-GB" w:eastAsia="en-GB"/>
        </w:rPr>
      </w:pPr>
      <w:hyperlink w:anchor="_Toc495562556" w:history="1">
        <w:r w:rsidR="000F58B9" w:rsidRPr="00E02757">
          <w:rPr>
            <w:rStyle w:val="Hyperlink"/>
            <w:lang w:val="en-GB"/>
          </w:rPr>
          <w:t>6.1</w:t>
        </w:r>
        <w:r w:rsidR="000F58B9">
          <w:rPr>
            <w:rFonts w:asciiTheme="minorHAnsi" w:eastAsiaTheme="minorEastAsia" w:hAnsiTheme="minorHAnsi" w:cstheme="minorBidi"/>
            <w:sz w:val="24"/>
            <w:lang w:val="en-GB" w:eastAsia="en-GB"/>
          </w:rPr>
          <w:tab/>
        </w:r>
        <w:r w:rsidR="000F58B9" w:rsidRPr="00E02757">
          <w:rPr>
            <w:rStyle w:val="Hyperlink"/>
            <w:lang w:val="en-GB"/>
          </w:rPr>
          <w:t>Generic Requirements</w:t>
        </w:r>
        <w:r w:rsidR="000F58B9">
          <w:rPr>
            <w:webHidden/>
          </w:rPr>
          <w:tab/>
        </w:r>
        <w:r w:rsidR="000F58B9">
          <w:rPr>
            <w:webHidden/>
          </w:rPr>
          <w:fldChar w:fldCharType="begin"/>
        </w:r>
        <w:r w:rsidR="000F58B9">
          <w:rPr>
            <w:webHidden/>
          </w:rPr>
          <w:instrText xml:space="preserve"> PAGEREF _Toc495562556 \h </w:instrText>
        </w:r>
        <w:r w:rsidR="000F58B9">
          <w:rPr>
            <w:webHidden/>
          </w:rPr>
        </w:r>
        <w:r w:rsidR="000F58B9">
          <w:rPr>
            <w:webHidden/>
          </w:rPr>
          <w:fldChar w:fldCharType="separate"/>
        </w:r>
        <w:r w:rsidR="000F58B9">
          <w:rPr>
            <w:webHidden/>
          </w:rPr>
          <w:t>22</w:t>
        </w:r>
        <w:r w:rsidR="000F58B9">
          <w:rPr>
            <w:webHidden/>
          </w:rPr>
          <w:fldChar w:fldCharType="end"/>
        </w:r>
      </w:hyperlink>
    </w:p>
    <w:p w14:paraId="55428EA5" w14:textId="77777777" w:rsidR="000F58B9" w:rsidRDefault="00417A29">
      <w:pPr>
        <w:pStyle w:val="TOC3"/>
        <w:rPr>
          <w:rFonts w:asciiTheme="minorHAnsi" w:eastAsiaTheme="minorEastAsia" w:hAnsiTheme="minorHAnsi" w:cstheme="minorBidi"/>
          <w:noProof/>
          <w:sz w:val="24"/>
          <w:lang w:val="en-GB" w:eastAsia="en-GB"/>
        </w:rPr>
      </w:pPr>
      <w:hyperlink w:anchor="_Toc495562557" w:history="1">
        <w:r w:rsidR="000F58B9" w:rsidRPr="00E02757">
          <w:rPr>
            <w:rStyle w:val="Hyperlink"/>
            <w:noProof/>
            <w:lang w:val="en-GB"/>
          </w:rPr>
          <w:t>6.1.1</w:t>
        </w:r>
        <w:r w:rsidR="000F58B9">
          <w:rPr>
            <w:rFonts w:asciiTheme="minorHAnsi" w:eastAsiaTheme="minorEastAsia" w:hAnsiTheme="minorHAnsi" w:cstheme="minorBidi"/>
            <w:noProof/>
            <w:sz w:val="24"/>
            <w:lang w:val="en-GB" w:eastAsia="en-GB"/>
          </w:rPr>
          <w:tab/>
        </w:r>
        <w:r w:rsidR="000F58B9" w:rsidRPr="00E02757">
          <w:rPr>
            <w:rStyle w:val="Hyperlink"/>
            <w:noProof/>
            <w:lang w:val="en-GB"/>
          </w:rPr>
          <w:t>Table 1 - Article 3(1): Market Information</w:t>
        </w:r>
        <w:r w:rsidR="000F58B9">
          <w:rPr>
            <w:noProof/>
            <w:webHidden/>
          </w:rPr>
          <w:tab/>
        </w:r>
        <w:r w:rsidR="000F58B9">
          <w:rPr>
            <w:noProof/>
            <w:webHidden/>
          </w:rPr>
          <w:fldChar w:fldCharType="begin"/>
        </w:r>
        <w:r w:rsidR="000F58B9">
          <w:rPr>
            <w:noProof/>
            <w:webHidden/>
          </w:rPr>
          <w:instrText xml:space="preserve"> PAGEREF _Toc495562557 \h </w:instrText>
        </w:r>
        <w:r w:rsidR="000F58B9">
          <w:rPr>
            <w:noProof/>
            <w:webHidden/>
          </w:rPr>
        </w:r>
        <w:r w:rsidR="000F58B9">
          <w:rPr>
            <w:noProof/>
            <w:webHidden/>
          </w:rPr>
          <w:fldChar w:fldCharType="separate"/>
        </w:r>
        <w:r w:rsidR="000F58B9">
          <w:rPr>
            <w:noProof/>
            <w:webHidden/>
          </w:rPr>
          <w:t>24</w:t>
        </w:r>
        <w:r w:rsidR="000F58B9">
          <w:rPr>
            <w:noProof/>
            <w:webHidden/>
          </w:rPr>
          <w:fldChar w:fldCharType="end"/>
        </w:r>
      </w:hyperlink>
    </w:p>
    <w:p w14:paraId="756724E8" w14:textId="77777777" w:rsidR="000F58B9" w:rsidRDefault="00417A29">
      <w:pPr>
        <w:pStyle w:val="TOC3"/>
        <w:rPr>
          <w:rFonts w:asciiTheme="minorHAnsi" w:eastAsiaTheme="minorEastAsia" w:hAnsiTheme="minorHAnsi" w:cstheme="minorBidi"/>
          <w:noProof/>
          <w:sz w:val="24"/>
          <w:lang w:val="en-GB" w:eastAsia="en-GB"/>
        </w:rPr>
      </w:pPr>
      <w:hyperlink w:anchor="_Toc495562558" w:history="1">
        <w:r w:rsidR="000F58B9" w:rsidRPr="00E02757">
          <w:rPr>
            <w:rStyle w:val="Hyperlink"/>
            <w:noProof/>
            <w:lang w:val="en-GB"/>
          </w:rPr>
          <w:t>6.1.2</w:t>
        </w:r>
        <w:r w:rsidR="000F58B9">
          <w:rPr>
            <w:rFonts w:asciiTheme="minorHAnsi" w:eastAsiaTheme="minorEastAsia" w:hAnsiTheme="minorHAnsi" w:cstheme="minorBidi"/>
            <w:noProof/>
            <w:sz w:val="24"/>
            <w:lang w:val="en-GB" w:eastAsia="en-GB"/>
          </w:rPr>
          <w:tab/>
        </w:r>
        <w:r w:rsidR="000F58B9" w:rsidRPr="00E02757">
          <w:rPr>
            <w:rStyle w:val="Hyperlink"/>
            <w:noProof/>
            <w:lang w:val="en-GB"/>
          </w:rPr>
          <w:t>Table 2 - Article 3(2): Instrument Identifier</w:t>
        </w:r>
        <w:r w:rsidR="000F58B9">
          <w:rPr>
            <w:noProof/>
            <w:webHidden/>
          </w:rPr>
          <w:tab/>
        </w:r>
        <w:r w:rsidR="000F58B9">
          <w:rPr>
            <w:noProof/>
            <w:webHidden/>
          </w:rPr>
          <w:fldChar w:fldCharType="begin"/>
        </w:r>
        <w:r w:rsidR="000F58B9">
          <w:rPr>
            <w:noProof/>
            <w:webHidden/>
          </w:rPr>
          <w:instrText xml:space="preserve"> PAGEREF _Toc495562558 \h </w:instrText>
        </w:r>
        <w:r w:rsidR="000F58B9">
          <w:rPr>
            <w:noProof/>
            <w:webHidden/>
          </w:rPr>
        </w:r>
        <w:r w:rsidR="000F58B9">
          <w:rPr>
            <w:noProof/>
            <w:webHidden/>
          </w:rPr>
          <w:fldChar w:fldCharType="separate"/>
        </w:r>
        <w:r w:rsidR="000F58B9">
          <w:rPr>
            <w:noProof/>
            <w:webHidden/>
          </w:rPr>
          <w:t>25</w:t>
        </w:r>
        <w:r w:rsidR="000F58B9">
          <w:rPr>
            <w:noProof/>
            <w:webHidden/>
          </w:rPr>
          <w:fldChar w:fldCharType="end"/>
        </w:r>
      </w:hyperlink>
    </w:p>
    <w:p w14:paraId="10FFD7BD" w14:textId="77777777" w:rsidR="000F58B9" w:rsidRDefault="00417A29">
      <w:pPr>
        <w:pStyle w:val="TOC3"/>
        <w:rPr>
          <w:rFonts w:asciiTheme="minorHAnsi" w:eastAsiaTheme="minorEastAsia" w:hAnsiTheme="minorHAnsi" w:cstheme="minorBidi"/>
          <w:noProof/>
          <w:sz w:val="24"/>
          <w:lang w:val="en-GB" w:eastAsia="en-GB"/>
        </w:rPr>
      </w:pPr>
      <w:hyperlink w:anchor="_Toc495562559" w:history="1">
        <w:r w:rsidR="000F58B9" w:rsidRPr="00E02757">
          <w:rPr>
            <w:rStyle w:val="Hyperlink"/>
            <w:noProof/>
            <w:lang w:val="en-GB"/>
          </w:rPr>
          <w:t>6.1.3</w:t>
        </w:r>
        <w:r w:rsidR="000F58B9">
          <w:rPr>
            <w:rFonts w:asciiTheme="minorHAnsi" w:eastAsiaTheme="minorEastAsia" w:hAnsiTheme="minorHAnsi" w:cstheme="minorBidi"/>
            <w:noProof/>
            <w:sz w:val="24"/>
            <w:lang w:val="en-GB" w:eastAsia="en-GB"/>
          </w:rPr>
          <w:tab/>
        </w:r>
        <w:r w:rsidR="000F58B9" w:rsidRPr="00E02757">
          <w:rPr>
            <w:rStyle w:val="Hyperlink"/>
            <w:noProof/>
            <w:lang w:val="en-GB"/>
          </w:rPr>
          <w:t>Table 3 - Article 4(a): Price information: Intra-Day</w:t>
        </w:r>
        <w:r w:rsidR="000F58B9">
          <w:rPr>
            <w:noProof/>
            <w:webHidden/>
          </w:rPr>
          <w:tab/>
        </w:r>
        <w:r w:rsidR="000F58B9">
          <w:rPr>
            <w:noProof/>
            <w:webHidden/>
          </w:rPr>
          <w:fldChar w:fldCharType="begin"/>
        </w:r>
        <w:r w:rsidR="000F58B9">
          <w:rPr>
            <w:noProof/>
            <w:webHidden/>
          </w:rPr>
          <w:instrText xml:space="preserve"> PAGEREF _Toc495562559 \h </w:instrText>
        </w:r>
        <w:r w:rsidR="000F58B9">
          <w:rPr>
            <w:noProof/>
            <w:webHidden/>
          </w:rPr>
        </w:r>
        <w:r w:rsidR="000F58B9">
          <w:rPr>
            <w:noProof/>
            <w:webHidden/>
          </w:rPr>
          <w:fldChar w:fldCharType="separate"/>
        </w:r>
        <w:r w:rsidR="000F58B9">
          <w:rPr>
            <w:noProof/>
            <w:webHidden/>
          </w:rPr>
          <w:t>25</w:t>
        </w:r>
        <w:r w:rsidR="000F58B9">
          <w:rPr>
            <w:noProof/>
            <w:webHidden/>
          </w:rPr>
          <w:fldChar w:fldCharType="end"/>
        </w:r>
      </w:hyperlink>
    </w:p>
    <w:p w14:paraId="42042016" w14:textId="77777777" w:rsidR="000F58B9" w:rsidRDefault="00417A29">
      <w:pPr>
        <w:pStyle w:val="TOC3"/>
        <w:rPr>
          <w:rFonts w:asciiTheme="minorHAnsi" w:eastAsiaTheme="minorEastAsia" w:hAnsiTheme="minorHAnsi" w:cstheme="minorBidi"/>
          <w:noProof/>
          <w:sz w:val="24"/>
          <w:lang w:val="en-GB" w:eastAsia="en-GB"/>
        </w:rPr>
      </w:pPr>
      <w:hyperlink w:anchor="_Toc495562560" w:history="1">
        <w:r w:rsidR="000F58B9" w:rsidRPr="00E02757">
          <w:rPr>
            <w:rStyle w:val="Hyperlink"/>
            <w:noProof/>
            <w:lang w:val="en-GB"/>
          </w:rPr>
          <w:t>6.1.4</w:t>
        </w:r>
        <w:r w:rsidR="000F58B9">
          <w:rPr>
            <w:rFonts w:asciiTheme="minorHAnsi" w:eastAsiaTheme="minorEastAsia" w:hAnsiTheme="minorHAnsi" w:cstheme="minorBidi"/>
            <w:noProof/>
            <w:sz w:val="24"/>
            <w:lang w:val="en-GB" w:eastAsia="en-GB"/>
          </w:rPr>
          <w:tab/>
        </w:r>
        <w:r w:rsidR="000F58B9" w:rsidRPr="00E02757">
          <w:rPr>
            <w:rStyle w:val="Hyperlink"/>
            <w:noProof/>
            <w:lang w:val="en-GB"/>
          </w:rPr>
          <w:t>Table 4 - Article 4(b): Price Information: Daily</w:t>
        </w:r>
        <w:r w:rsidR="000F58B9">
          <w:rPr>
            <w:noProof/>
            <w:webHidden/>
          </w:rPr>
          <w:tab/>
        </w:r>
        <w:r w:rsidR="000F58B9">
          <w:rPr>
            <w:noProof/>
            <w:webHidden/>
          </w:rPr>
          <w:fldChar w:fldCharType="begin"/>
        </w:r>
        <w:r w:rsidR="000F58B9">
          <w:rPr>
            <w:noProof/>
            <w:webHidden/>
          </w:rPr>
          <w:instrText xml:space="preserve"> PAGEREF _Toc495562560 \h </w:instrText>
        </w:r>
        <w:r w:rsidR="000F58B9">
          <w:rPr>
            <w:noProof/>
            <w:webHidden/>
          </w:rPr>
        </w:r>
        <w:r w:rsidR="000F58B9">
          <w:rPr>
            <w:noProof/>
            <w:webHidden/>
          </w:rPr>
          <w:fldChar w:fldCharType="separate"/>
        </w:r>
        <w:r w:rsidR="000F58B9">
          <w:rPr>
            <w:noProof/>
            <w:webHidden/>
          </w:rPr>
          <w:t>27</w:t>
        </w:r>
        <w:r w:rsidR="000F58B9">
          <w:rPr>
            <w:noProof/>
            <w:webHidden/>
          </w:rPr>
          <w:fldChar w:fldCharType="end"/>
        </w:r>
      </w:hyperlink>
    </w:p>
    <w:p w14:paraId="334FCF33" w14:textId="77777777" w:rsidR="000F58B9" w:rsidRDefault="00417A29">
      <w:pPr>
        <w:pStyle w:val="TOC3"/>
        <w:rPr>
          <w:rFonts w:asciiTheme="minorHAnsi" w:eastAsiaTheme="minorEastAsia" w:hAnsiTheme="minorHAnsi" w:cstheme="minorBidi"/>
          <w:noProof/>
          <w:sz w:val="24"/>
          <w:lang w:val="en-GB" w:eastAsia="en-GB"/>
        </w:rPr>
      </w:pPr>
      <w:hyperlink w:anchor="_Toc495562561" w:history="1">
        <w:r w:rsidR="000F58B9" w:rsidRPr="00E02757">
          <w:rPr>
            <w:rStyle w:val="Hyperlink"/>
            <w:noProof/>
            <w:lang w:val="en-GB"/>
          </w:rPr>
          <w:t>6.1.5</w:t>
        </w:r>
        <w:r w:rsidR="000F58B9">
          <w:rPr>
            <w:rFonts w:asciiTheme="minorHAnsi" w:eastAsiaTheme="minorEastAsia" w:hAnsiTheme="minorHAnsi" w:cstheme="minorBidi"/>
            <w:noProof/>
            <w:sz w:val="24"/>
            <w:lang w:val="en-GB" w:eastAsia="en-GB"/>
          </w:rPr>
          <w:tab/>
        </w:r>
        <w:r w:rsidR="000F58B9" w:rsidRPr="00E02757">
          <w:rPr>
            <w:rStyle w:val="Hyperlink"/>
            <w:noProof/>
            <w:lang w:val="en-GB"/>
          </w:rPr>
          <w:t>Table 5 – Article 5: Cost information by instrument</w:t>
        </w:r>
        <w:r w:rsidR="000F58B9">
          <w:rPr>
            <w:noProof/>
            <w:webHidden/>
          </w:rPr>
          <w:tab/>
        </w:r>
        <w:r w:rsidR="000F58B9">
          <w:rPr>
            <w:noProof/>
            <w:webHidden/>
          </w:rPr>
          <w:fldChar w:fldCharType="begin"/>
        </w:r>
        <w:r w:rsidR="000F58B9">
          <w:rPr>
            <w:noProof/>
            <w:webHidden/>
          </w:rPr>
          <w:instrText xml:space="preserve"> PAGEREF _Toc495562561 \h </w:instrText>
        </w:r>
        <w:r w:rsidR="000F58B9">
          <w:rPr>
            <w:noProof/>
            <w:webHidden/>
          </w:rPr>
        </w:r>
        <w:r w:rsidR="000F58B9">
          <w:rPr>
            <w:noProof/>
            <w:webHidden/>
          </w:rPr>
          <w:fldChar w:fldCharType="separate"/>
        </w:r>
        <w:r w:rsidR="000F58B9">
          <w:rPr>
            <w:noProof/>
            <w:webHidden/>
          </w:rPr>
          <w:t>28</w:t>
        </w:r>
        <w:r w:rsidR="000F58B9">
          <w:rPr>
            <w:noProof/>
            <w:webHidden/>
          </w:rPr>
          <w:fldChar w:fldCharType="end"/>
        </w:r>
      </w:hyperlink>
    </w:p>
    <w:p w14:paraId="17CC9DE3" w14:textId="77777777" w:rsidR="000F58B9" w:rsidRDefault="00417A29">
      <w:pPr>
        <w:pStyle w:val="TOC3"/>
        <w:rPr>
          <w:rFonts w:asciiTheme="minorHAnsi" w:eastAsiaTheme="minorEastAsia" w:hAnsiTheme="minorHAnsi" w:cstheme="minorBidi"/>
          <w:noProof/>
          <w:sz w:val="24"/>
          <w:lang w:val="en-GB" w:eastAsia="en-GB"/>
        </w:rPr>
      </w:pPr>
      <w:hyperlink w:anchor="_Toc495562562" w:history="1">
        <w:r w:rsidR="000F58B9" w:rsidRPr="00E02757">
          <w:rPr>
            <w:rStyle w:val="Hyperlink"/>
            <w:noProof/>
            <w:lang w:val="en-GB"/>
          </w:rPr>
          <w:t>6.1.6</w:t>
        </w:r>
        <w:r w:rsidR="000F58B9">
          <w:rPr>
            <w:rFonts w:asciiTheme="minorHAnsi" w:eastAsiaTheme="minorEastAsia" w:hAnsiTheme="minorHAnsi" w:cstheme="minorBidi"/>
            <w:noProof/>
            <w:sz w:val="24"/>
            <w:lang w:val="en-GB" w:eastAsia="en-GB"/>
          </w:rPr>
          <w:tab/>
        </w:r>
        <w:r w:rsidR="000F58B9" w:rsidRPr="00E02757">
          <w:rPr>
            <w:rStyle w:val="Hyperlink"/>
            <w:noProof/>
            <w:lang w:val="en-GB"/>
          </w:rPr>
          <w:t>Table 6 – Article 6: Likelihood of Execution by instrument (daily)</w:t>
        </w:r>
        <w:r w:rsidR="000F58B9">
          <w:rPr>
            <w:noProof/>
            <w:webHidden/>
          </w:rPr>
          <w:tab/>
        </w:r>
        <w:r w:rsidR="000F58B9">
          <w:rPr>
            <w:noProof/>
            <w:webHidden/>
          </w:rPr>
          <w:fldChar w:fldCharType="begin"/>
        </w:r>
        <w:r w:rsidR="000F58B9">
          <w:rPr>
            <w:noProof/>
            <w:webHidden/>
          </w:rPr>
          <w:instrText xml:space="preserve"> PAGEREF _Toc495562562 \h </w:instrText>
        </w:r>
        <w:r w:rsidR="000F58B9">
          <w:rPr>
            <w:noProof/>
            <w:webHidden/>
          </w:rPr>
        </w:r>
        <w:r w:rsidR="000F58B9">
          <w:rPr>
            <w:noProof/>
            <w:webHidden/>
          </w:rPr>
          <w:fldChar w:fldCharType="separate"/>
        </w:r>
        <w:r w:rsidR="000F58B9">
          <w:rPr>
            <w:noProof/>
            <w:webHidden/>
          </w:rPr>
          <w:t>29</w:t>
        </w:r>
        <w:r w:rsidR="000F58B9">
          <w:rPr>
            <w:noProof/>
            <w:webHidden/>
          </w:rPr>
          <w:fldChar w:fldCharType="end"/>
        </w:r>
      </w:hyperlink>
    </w:p>
    <w:p w14:paraId="1FD1D673" w14:textId="77777777" w:rsidR="000F58B9" w:rsidRDefault="00417A29">
      <w:pPr>
        <w:pStyle w:val="TOC3"/>
        <w:rPr>
          <w:rFonts w:asciiTheme="minorHAnsi" w:eastAsiaTheme="minorEastAsia" w:hAnsiTheme="minorHAnsi" w:cstheme="minorBidi"/>
          <w:noProof/>
          <w:sz w:val="24"/>
          <w:lang w:val="en-GB" w:eastAsia="en-GB"/>
        </w:rPr>
      </w:pPr>
      <w:hyperlink w:anchor="_Toc495562563" w:history="1">
        <w:r w:rsidR="000F58B9" w:rsidRPr="00E02757">
          <w:rPr>
            <w:rStyle w:val="Hyperlink"/>
            <w:noProof/>
            <w:lang w:val="en-GB"/>
          </w:rPr>
          <w:t>6.1.7</w:t>
        </w:r>
        <w:r w:rsidR="000F58B9">
          <w:rPr>
            <w:rFonts w:asciiTheme="minorHAnsi" w:eastAsiaTheme="minorEastAsia" w:hAnsiTheme="minorHAnsi" w:cstheme="minorBidi"/>
            <w:noProof/>
            <w:sz w:val="24"/>
            <w:lang w:val="en-GB" w:eastAsia="en-GB"/>
          </w:rPr>
          <w:tab/>
        </w:r>
        <w:r w:rsidR="000F58B9" w:rsidRPr="00E02757">
          <w:rPr>
            <w:rStyle w:val="Hyperlink"/>
            <w:noProof/>
            <w:lang w:val="en-GB"/>
          </w:rPr>
          <w:t>Table 7 – Likelihood of Execution - additional information by continuous auction order book and continuous quote driven execution venues – periodic (Article 7 (1))</w:t>
        </w:r>
        <w:r w:rsidR="000F58B9">
          <w:rPr>
            <w:noProof/>
            <w:webHidden/>
          </w:rPr>
          <w:tab/>
        </w:r>
        <w:r w:rsidR="000F58B9">
          <w:rPr>
            <w:noProof/>
            <w:webHidden/>
          </w:rPr>
          <w:fldChar w:fldCharType="begin"/>
        </w:r>
        <w:r w:rsidR="000F58B9">
          <w:rPr>
            <w:noProof/>
            <w:webHidden/>
          </w:rPr>
          <w:instrText xml:space="preserve"> PAGEREF _Toc495562563 \h </w:instrText>
        </w:r>
        <w:r w:rsidR="000F58B9">
          <w:rPr>
            <w:noProof/>
            <w:webHidden/>
          </w:rPr>
        </w:r>
        <w:r w:rsidR="000F58B9">
          <w:rPr>
            <w:noProof/>
            <w:webHidden/>
          </w:rPr>
          <w:fldChar w:fldCharType="separate"/>
        </w:r>
        <w:r w:rsidR="000F58B9">
          <w:rPr>
            <w:noProof/>
            <w:webHidden/>
          </w:rPr>
          <w:t>30</w:t>
        </w:r>
        <w:r w:rsidR="000F58B9">
          <w:rPr>
            <w:noProof/>
            <w:webHidden/>
          </w:rPr>
          <w:fldChar w:fldCharType="end"/>
        </w:r>
      </w:hyperlink>
    </w:p>
    <w:p w14:paraId="501CAA1B" w14:textId="77777777" w:rsidR="000F58B9" w:rsidRDefault="00417A29">
      <w:pPr>
        <w:pStyle w:val="TOC3"/>
        <w:rPr>
          <w:rFonts w:asciiTheme="minorHAnsi" w:eastAsiaTheme="minorEastAsia" w:hAnsiTheme="minorHAnsi" w:cstheme="minorBidi"/>
          <w:noProof/>
          <w:sz w:val="24"/>
          <w:lang w:val="en-GB" w:eastAsia="en-GB"/>
        </w:rPr>
      </w:pPr>
      <w:hyperlink w:anchor="_Toc495562564" w:history="1">
        <w:r w:rsidR="000F58B9" w:rsidRPr="00E02757">
          <w:rPr>
            <w:rStyle w:val="Hyperlink"/>
            <w:noProof/>
            <w:lang w:val="en-GB"/>
          </w:rPr>
          <w:t>6.1.8</w:t>
        </w:r>
        <w:r w:rsidR="000F58B9">
          <w:rPr>
            <w:rFonts w:asciiTheme="minorHAnsi" w:eastAsiaTheme="minorEastAsia" w:hAnsiTheme="minorHAnsi" w:cstheme="minorBidi"/>
            <w:noProof/>
            <w:sz w:val="24"/>
            <w:lang w:val="en-GB" w:eastAsia="en-GB"/>
          </w:rPr>
          <w:tab/>
        </w:r>
        <w:r w:rsidR="000F58B9" w:rsidRPr="00E02757">
          <w:rPr>
            <w:rStyle w:val="Hyperlink"/>
            <w:noProof/>
            <w:lang w:val="en-GB"/>
          </w:rPr>
          <w:t>Table 8 – - additional information by continuous auction order book and continuous quote driven execution venues – daily (Article 7(2)/(3))</w:t>
        </w:r>
        <w:r w:rsidR="000F58B9">
          <w:rPr>
            <w:noProof/>
            <w:webHidden/>
          </w:rPr>
          <w:tab/>
        </w:r>
        <w:r w:rsidR="000F58B9">
          <w:rPr>
            <w:noProof/>
            <w:webHidden/>
          </w:rPr>
          <w:fldChar w:fldCharType="begin"/>
        </w:r>
        <w:r w:rsidR="000F58B9">
          <w:rPr>
            <w:noProof/>
            <w:webHidden/>
          </w:rPr>
          <w:instrText xml:space="preserve"> PAGEREF _Toc495562564 \h </w:instrText>
        </w:r>
        <w:r w:rsidR="000F58B9">
          <w:rPr>
            <w:noProof/>
            <w:webHidden/>
          </w:rPr>
        </w:r>
        <w:r w:rsidR="000F58B9">
          <w:rPr>
            <w:noProof/>
            <w:webHidden/>
          </w:rPr>
          <w:fldChar w:fldCharType="separate"/>
        </w:r>
        <w:r w:rsidR="000F58B9">
          <w:rPr>
            <w:noProof/>
            <w:webHidden/>
          </w:rPr>
          <w:t>31</w:t>
        </w:r>
        <w:r w:rsidR="000F58B9">
          <w:rPr>
            <w:noProof/>
            <w:webHidden/>
          </w:rPr>
          <w:fldChar w:fldCharType="end"/>
        </w:r>
      </w:hyperlink>
    </w:p>
    <w:p w14:paraId="76B6ADB7" w14:textId="77777777" w:rsidR="000F58B9" w:rsidRDefault="00417A29">
      <w:pPr>
        <w:pStyle w:val="TOC3"/>
        <w:rPr>
          <w:rFonts w:asciiTheme="minorHAnsi" w:eastAsiaTheme="minorEastAsia" w:hAnsiTheme="minorHAnsi" w:cstheme="minorBidi"/>
          <w:noProof/>
          <w:sz w:val="24"/>
          <w:lang w:val="en-GB" w:eastAsia="en-GB"/>
        </w:rPr>
      </w:pPr>
      <w:hyperlink w:anchor="_Toc495562565" w:history="1">
        <w:r w:rsidR="000F58B9" w:rsidRPr="00E02757">
          <w:rPr>
            <w:rStyle w:val="Hyperlink"/>
            <w:noProof/>
            <w:lang w:val="en-GB"/>
          </w:rPr>
          <w:t>6.1.9</w:t>
        </w:r>
        <w:r w:rsidR="000F58B9">
          <w:rPr>
            <w:rFonts w:asciiTheme="minorHAnsi" w:eastAsiaTheme="minorEastAsia" w:hAnsiTheme="minorHAnsi" w:cstheme="minorBidi"/>
            <w:noProof/>
            <w:sz w:val="24"/>
            <w:lang w:val="en-GB" w:eastAsia="en-GB"/>
          </w:rPr>
          <w:tab/>
        </w:r>
        <w:r w:rsidR="000F58B9" w:rsidRPr="00E02757">
          <w:rPr>
            <w:rStyle w:val="Hyperlink"/>
            <w:noProof/>
            <w:lang w:val="en-GB"/>
          </w:rPr>
          <w:t>Table 9 – Article 8: Likelihood of Execution by instrument</w:t>
        </w:r>
        <w:r w:rsidR="000F58B9">
          <w:rPr>
            <w:noProof/>
            <w:webHidden/>
          </w:rPr>
          <w:tab/>
        </w:r>
        <w:r w:rsidR="000F58B9">
          <w:rPr>
            <w:noProof/>
            <w:webHidden/>
          </w:rPr>
          <w:fldChar w:fldCharType="begin"/>
        </w:r>
        <w:r w:rsidR="000F58B9">
          <w:rPr>
            <w:noProof/>
            <w:webHidden/>
          </w:rPr>
          <w:instrText xml:space="preserve"> PAGEREF _Toc495562565 \h </w:instrText>
        </w:r>
        <w:r w:rsidR="000F58B9">
          <w:rPr>
            <w:noProof/>
            <w:webHidden/>
          </w:rPr>
        </w:r>
        <w:r w:rsidR="000F58B9">
          <w:rPr>
            <w:noProof/>
            <w:webHidden/>
          </w:rPr>
          <w:fldChar w:fldCharType="separate"/>
        </w:r>
        <w:r w:rsidR="000F58B9">
          <w:rPr>
            <w:noProof/>
            <w:webHidden/>
          </w:rPr>
          <w:t>33</w:t>
        </w:r>
        <w:r w:rsidR="000F58B9">
          <w:rPr>
            <w:noProof/>
            <w:webHidden/>
          </w:rPr>
          <w:fldChar w:fldCharType="end"/>
        </w:r>
      </w:hyperlink>
    </w:p>
    <w:p w14:paraId="59333280" w14:textId="77777777" w:rsidR="000F58B9" w:rsidRDefault="00417A29">
      <w:pPr>
        <w:pStyle w:val="TOC2"/>
        <w:rPr>
          <w:rFonts w:asciiTheme="minorHAnsi" w:eastAsiaTheme="minorEastAsia" w:hAnsiTheme="minorHAnsi" w:cstheme="minorBidi"/>
          <w:sz w:val="24"/>
          <w:lang w:val="en-GB" w:eastAsia="en-GB"/>
        </w:rPr>
      </w:pPr>
      <w:hyperlink w:anchor="_Toc495562566" w:history="1">
        <w:r w:rsidR="000F58B9" w:rsidRPr="00E02757">
          <w:rPr>
            <w:rStyle w:val="Hyperlink"/>
            <w:lang w:val="en-GB"/>
          </w:rPr>
          <w:t>6.2</w:t>
        </w:r>
        <w:r w:rsidR="000F58B9">
          <w:rPr>
            <w:rFonts w:asciiTheme="minorHAnsi" w:eastAsiaTheme="minorEastAsia" w:hAnsiTheme="minorHAnsi" w:cstheme="minorBidi"/>
            <w:sz w:val="24"/>
            <w:lang w:val="en-GB" w:eastAsia="en-GB"/>
          </w:rPr>
          <w:tab/>
        </w:r>
        <w:r w:rsidR="000F58B9" w:rsidRPr="00E02757">
          <w:rPr>
            <w:rStyle w:val="Hyperlink"/>
            <w:lang w:val="en-GB"/>
          </w:rPr>
          <w:t>Entities operating a Central Limit Order Book</w:t>
        </w:r>
        <w:r w:rsidR="000F58B9">
          <w:rPr>
            <w:webHidden/>
          </w:rPr>
          <w:tab/>
        </w:r>
        <w:r w:rsidR="000F58B9">
          <w:rPr>
            <w:webHidden/>
          </w:rPr>
          <w:fldChar w:fldCharType="begin"/>
        </w:r>
        <w:r w:rsidR="000F58B9">
          <w:rPr>
            <w:webHidden/>
          </w:rPr>
          <w:instrText xml:space="preserve"> PAGEREF _Toc495562566 \h </w:instrText>
        </w:r>
        <w:r w:rsidR="000F58B9">
          <w:rPr>
            <w:webHidden/>
          </w:rPr>
        </w:r>
        <w:r w:rsidR="000F58B9">
          <w:rPr>
            <w:webHidden/>
          </w:rPr>
          <w:fldChar w:fldCharType="separate"/>
        </w:r>
        <w:r w:rsidR="000F58B9">
          <w:rPr>
            <w:webHidden/>
          </w:rPr>
          <w:t>33</w:t>
        </w:r>
        <w:r w:rsidR="000F58B9">
          <w:rPr>
            <w:webHidden/>
          </w:rPr>
          <w:fldChar w:fldCharType="end"/>
        </w:r>
      </w:hyperlink>
    </w:p>
    <w:p w14:paraId="1C253D6E" w14:textId="77777777" w:rsidR="000F58B9" w:rsidRDefault="00417A29">
      <w:pPr>
        <w:pStyle w:val="TOC3"/>
        <w:rPr>
          <w:rFonts w:asciiTheme="minorHAnsi" w:eastAsiaTheme="minorEastAsia" w:hAnsiTheme="minorHAnsi" w:cstheme="minorBidi"/>
          <w:noProof/>
          <w:sz w:val="24"/>
          <w:lang w:val="en-GB" w:eastAsia="en-GB"/>
        </w:rPr>
      </w:pPr>
      <w:hyperlink w:anchor="_Toc495562567" w:history="1">
        <w:r w:rsidR="000F58B9" w:rsidRPr="00E02757">
          <w:rPr>
            <w:rStyle w:val="Hyperlink"/>
            <w:noProof/>
            <w:lang w:val="en-GB"/>
          </w:rPr>
          <w:t>6.2.1</w:t>
        </w:r>
        <w:r w:rsidR="000F58B9">
          <w:rPr>
            <w:rFonts w:asciiTheme="minorHAnsi" w:eastAsiaTheme="minorEastAsia" w:hAnsiTheme="minorHAnsi" w:cstheme="minorBidi"/>
            <w:noProof/>
            <w:sz w:val="24"/>
            <w:lang w:val="en-GB" w:eastAsia="en-GB"/>
          </w:rPr>
          <w:tab/>
        </w:r>
        <w:r w:rsidR="000F58B9" w:rsidRPr="00E02757">
          <w:rPr>
            <w:rStyle w:val="Hyperlink"/>
            <w:noProof/>
            <w:lang w:val="en-GB"/>
          </w:rPr>
          <w:t>Frequency of Publication</w:t>
        </w:r>
        <w:r w:rsidR="000F58B9">
          <w:rPr>
            <w:noProof/>
            <w:webHidden/>
          </w:rPr>
          <w:tab/>
        </w:r>
        <w:r w:rsidR="000F58B9">
          <w:rPr>
            <w:noProof/>
            <w:webHidden/>
          </w:rPr>
          <w:fldChar w:fldCharType="begin"/>
        </w:r>
        <w:r w:rsidR="000F58B9">
          <w:rPr>
            <w:noProof/>
            <w:webHidden/>
          </w:rPr>
          <w:instrText xml:space="preserve"> PAGEREF _Toc495562567 \h </w:instrText>
        </w:r>
        <w:r w:rsidR="000F58B9">
          <w:rPr>
            <w:noProof/>
            <w:webHidden/>
          </w:rPr>
        </w:r>
        <w:r w:rsidR="000F58B9">
          <w:rPr>
            <w:noProof/>
            <w:webHidden/>
          </w:rPr>
          <w:fldChar w:fldCharType="separate"/>
        </w:r>
        <w:r w:rsidR="000F58B9">
          <w:rPr>
            <w:noProof/>
            <w:webHidden/>
          </w:rPr>
          <w:t>33</w:t>
        </w:r>
        <w:r w:rsidR="000F58B9">
          <w:rPr>
            <w:noProof/>
            <w:webHidden/>
          </w:rPr>
          <w:fldChar w:fldCharType="end"/>
        </w:r>
      </w:hyperlink>
    </w:p>
    <w:p w14:paraId="5BB27223" w14:textId="77777777" w:rsidR="000F58B9" w:rsidRDefault="00417A29">
      <w:pPr>
        <w:pStyle w:val="TOC3"/>
        <w:rPr>
          <w:rFonts w:asciiTheme="minorHAnsi" w:eastAsiaTheme="minorEastAsia" w:hAnsiTheme="minorHAnsi" w:cstheme="minorBidi"/>
          <w:noProof/>
          <w:sz w:val="24"/>
          <w:lang w:val="en-GB" w:eastAsia="en-GB"/>
        </w:rPr>
      </w:pPr>
      <w:hyperlink w:anchor="_Toc495562568" w:history="1">
        <w:r w:rsidR="000F58B9" w:rsidRPr="00E02757">
          <w:rPr>
            <w:rStyle w:val="Hyperlink"/>
            <w:noProof/>
            <w:lang w:val="en-GB"/>
          </w:rPr>
          <w:t>6.2.2</w:t>
        </w:r>
        <w:r w:rsidR="000F58B9">
          <w:rPr>
            <w:rFonts w:asciiTheme="minorHAnsi" w:eastAsiaTheme="minorEastAsia" w:hAnsiTheme="minorHAnsi" w:cstheme="minorBidi"/>
            <w:noProof/>
            <w:sz w:val="24"/>
            <w:lang w:val="en-GB" w:eastAsia="en-GB"/>
          </w:rPr>
          <w:tab/>
        </w:r>
        <w:r w:rsidR="000F58B9" w:rsidRPr="00E02757">
          <w:rPr>
            <w:rStyle w:val="Hyperlink"/>
            <w:noProof/>
            <w:lang w:val="en-GB"/>
          </w:rPr>
          <w:t>Tables to be completed</w:t>
        </w:r>
        <w:r w:rsidR="000F58B9">
          <w:rPr>
            <w:noProof/>
            <w:webHidden/>
          </w:rPr>
          <w:tab/>
        </w:r>
        <w:r w:rsidR="000F58B9">
          <w:rPr>
            <w:noProof/>
            <w:webHidden/>
          </w:rPr>
          <w:fldChar w:fldCharType="begin"/>
        </w:r>
        <w:r w:rsidR="000F58B9">
          <w:rPr>
            <w:noProof/>
            <w:webHidden/>
          </w:rPr>
          <w:instrText xml:space="preserve"> PAGEREF _Toc495562568 \h </w:instrText>
        </w:r>
        <w:r w:rsidR="000F58B9">
          <w:rPr>
            <w:noProof/>
            <w:webHidden/>
          </w:rPr>
        </w:r>
        <w:r w:rsidR="000F58B9">
          <w:rPr>
            <w:noProof/>
            <w:webHidden/>
          </w:rPr>
          <w:fldChar w:fldCharType="separate"/>
        </w:r>
        <w:r w:rsidR="000F58B9">
          <w:rPr>
            <w:noProof/>
            <w:webHidden/>
          </w:rPr>
          <w:t>33</w:t>
        </w:r>
        <w:r w:rsidR="000F58B9">
          <w:rPr>
            <w:noProof/>
            <w:webHidden/>
          </w:rPr>
          <w:fldChar w:fldCharType="end"/>
        </w:r>
      </w:hyperlink>
    </w:p>
    <w:p w14:paraId="67D18600" w14:textId="77777777" w:rsidR="000F58B9" w:rsidRDefault="00417A29">
      <w:pPr>
        <w:pStyle w:val="TOC2"/>
        <w:rPr>
          <w:rFonts w:asciiTheme="minorHAnsi" w:eastAsiaTheme="minorEastAsia" w:hAnsiTheme="minorHAnsi" w:cstheme="minorBidi"/>
          <w:sz w:val="24"/>
          <w:lang w:val="en-GB" w:eastAsia="en-GB"/>
        </w:rPr>
      </w:pPr>
      <w:hyperlink w:anchor="_Toc495562569" w:history="1">
        <w:r w:rsidR="000F58B9" w:rsidRPr="00E02757">
          <w:rPr>
            <w:rStyle w:val="Hyperlink"/>
            <w:lang w:val="en-GB"/>
          </w:rPr>
          <w:t>6.3</w:t>
        </w:r>
        <w:r w:rsidR="000F58B9">
          <w:rPr>
            <w:rFonts w:asciiTheme="minorHAnsi" w:eastAsiaTheme="minorEastAsia" w:hAnsiTheme="minorHAnsi" w:cstheme="minorBidi"/>
            <w:sz w:val="24"/>
            <w:lang w:val="en-GB" w:eastAsia="en-GB"/>
          </w:rPr>
          <w:tab/>
        </w:r>
        <w:r w:rsidR="000F58B9" w:rsidRPr="00E02757">
          <w:rPr>
            <w:rStyle w:val="Hyperlink"/>
            <w:lang w:val="en-GB"/>
          </w:rPr>
          <w:t>Entities operating a Request for Quote Mechanism</w:t>
        </w:r>
        <w:r w:rsidR="000F58B9">
          <w:rPr>
            <w:webHidden/>
          </w:rPr>
          <w:tab/>
        </w:r>
        <w:r w:rsidR="000F58B9">
          <w:rPr>
            <w:webHidden/>
          </w:rPr>
          <w:fldChar w:fldCharType="begin"/>
        </w:r>
        <w:r w:rsidR="000F58B9">
          <w:rPr>
            <w:webHidden/>
          </w:rPr>
          <w:instrText xml:space="preserve"> PAGEREF _Toc495562569 \h </w:instrText>
        </w:r>
        <w:r w:rsidR="000F58B9">
          <w:rPr>
            <w:webHidden/>
          </w:rPr>
        </w:r>
        <w:r w:rsidR="000F58B9">
          <w:rPr>
            <w:webHidden/>
          </w:rPr>
          <w:fldChar w:fldCharType="separate"/>
        </w:r>
        <w:r w:rsidR="000F58B9">
          <w:rPr>
            <w:webHidden/>
          </w:rPr>
          <w:t>34</w:t>
        </w:r>
        <w:r w:rsidR="000F58B9">
          <w:rPr>
            <w:webHidden/>
          </w:rPr>
          <w:fldChar w:fldCharType="end"/>
        </w:r>
      </w:hyperlink>
    </w:p>
    <w:p w14:paraId="6C0E8D4E" w14:textId="77777777" w:rsidR="000F58B9" w:rsidRDefault="00417A29">
      <w:pPr>
        <w:pStyle w:val="TOC3"/>
        <w:rPr>
          <w:rFonts w:asciiTheme="minorHAnsi" w:eastAsiaTheme="minorEastAsia" w:hAnsiTheme="minorHAnsi" w:cstheme="minorBidi"/>
          <w:noProof/>
          <w:sz w:val="24"/>
          <w:lang w:val="en-GB" w:eastAsia="en-GB"/>
        </w:rPr>
      </w:pPr>
      <w:hyperlink w:anchor="_Toc495562570" w:history="1">
        <w:r w:rsidR="000F58B9" w:rsidRPr="00E02757">
          <w:rPr>
            <w:rStyle w:val="Hyperlink"/>
            <w:noProof/>
            <w:lang w:val="en-GB"/>
          </w:rPr>
          <w:t>6.3.1</w:t>
        </w:r>
        <w:r w:rsidR="000F58B9">
          <w:rPr>
            <w:rFonts w:asciiTheme="minorHAnsi" w:eastAsiaTheme="minorEastAsia" w:hAnsiTheme="minorHAnsi" w:cstheme="minorBidi"/>
            <w:noProof/>
            <w:sz w:val="24"/>
            <w:lang w:val="en-GB" w:eastAsia="en-GB"/>
          </w:rPr>
          <w:tab/>
        </w:r>
        <w:r w:rsidR="000F58B9" w:rsidRPr="00E02757">
          <w:rPr>
            <w:rStyle w:val="Hyperlink"/>
            <w:noProof/>
            <w:lang w:val="en-GB"/>
          </w:rPr>
          <w:t>Frequency of Publication</w:t>
        </w:r>
        <w:r w:rsidR="000F58B9">
          <w:rPr>
            <w:noProof/>
            <w:webHidden/>
          </w:rPr>
          <w:tab/>
        </w:r>
        <w:r w:rsidR="000F58B9">
          <w:rPr>
            <w:noProof/>
            <w:webHidden/>
          </w:rPr>
          <w:fldChar w:fldCharType="begin"/>
        </w:r>
        <w:r w:rsidR="000F58B9">
          <w:rPr>
            <w:noProof/>
            <w:webHidden/>
          </w:rPr>
          <w:instrText xml:space="preserve"> PAGEREF _Toc495562570 \h </w:instrText>
        </w:r>
        <w:r w:rsidR="000F58B9">
          <w:rPr>
            <w:noProof/>
            <w:webHidden/>
          </w:rPr>
        </w:r>
        <w:r w:rsidR="000F58B9">
          <w:rPr>
            <w:noProof/>
            <w:webHidden/>
          </w:rPr>
          <w:fldChar w:fldCharType="separate"/>
        </w:r>
        <w:r w:rsidR="000F58B9">
          <w:rPr>
            <w:noProof/>
            <w:webHidden/>
          </w:rPr>
          <w:t>34</w:t>
        </w:r>
        <w:r w:rsidR="000F58B9">
          <w:rPr>
            <w:noProof/>
            <w:webHidden/>
          </w:rPr>
          <w:fldChar w:fldCharType="end"/>
        </w:r>
      </w:hyperlink>
    </w:p>
    <w:p w14:paraId="054FEB57" w14:textId="77777777" w:rsidR="000F58B9" w:rsidRDefault="00417A29">
      <w:pPr>
        <w:pStyle w:val="TOC3"/>
        <w:rPr>
          <w:rFonts w:asciiTheme="minorHAnsi" w:eastAsiaTheme="minorEastAsia" w:hAnsiTheme="minorHAnsi" w:cstheme="minorBidi"/>
          <w:noProof/>
          <w:sz w:val="24"/>
          <w:lang w:val="en-GB" w:eastAsia="en-GB"/>
        </w:rPr>
      </w:pPr>
      <w:hyperlink w:anchor="_Toc495562571" w:history="1">
        <w:r w:rsidR="000F58B9" w:rsidRPr="00E02757">
          <w:rPr>
            <w:rStyle w:val="Hyperlink"/>
            <w:noProof/>
            <w:lang w:val="en-GB"/>
          </w:rPr>
          <w:t>6.3.2</w:t>
        </w:r>
        <w:r w:rsidR="000F58B9">
          <w:rPr>
            <w:rFonts w:asciiTheme="minorHAnsi" w:eastAsiaTheme="minorEastAsia" w:hAnsiTheme="minorHAnsi" w:cstheme="minorBidi"/>
            <w:noProof/>
            <w:sz w:val="24"/>
            <w:lang w:val="en-GB" w:eastAsia="en-GB"/>
          </w:rPr>
          <w:tab/>
        </w:r>
        <w:r w:rsidR="000F58B9" w:rsidRPr="00E02757">
          <w:rPr>
            <w:rStyle w:val="Hyperlink"/>
            <w:noProof/>
            <w:lang w:val="en-GB"/>
          </w:rPr>
          <w:t>Tables to complete</w:t>
        </w:r>
        <w:r w:rsidR="000F58B9">
          <w:rPr>
            <w:noProof/>
            <w:webHidden/>
          </w:rPr>
          <w:tab/>
        </w:r>
        <w:r w:rsidR="000F58B9">
          <w:rPr>
            <w:noProof/>
            <w:webHidden/>
          </w:rPr>
          <w:fldChar w:fldCharType="begin"/>
        </w:r>
        <w:r w:rsidR="000F58B9">
          <w:rPr>
            <w:noProof/>
            <w:webHidden/>
          </w:rPr>
          <w:instrText xml:space="preserve"> PAGEREF _Toc495562571 \h </w:instrText>
        </w:r>
        <w:r w:rsidR="000F58B9">
          <w:rPr>
            <w:noProof/>
            <w:webHidden/>
          </w:rPr>
        </w:r>
        <w:r w:rsidR="000F58B9">
          <w:rPr>
            <w:noProof/>
            <w:webHidden/>
          </w:rPr>
          <w:fldChar w:fldCharType="separate"/>
        </w:r>
        <w:r w:rsidR="000F58B9">
          <w:rPr>
            <w:noProof/>
            <w:webHidden/>
          </w:rPr>
          <w:t>34</w:t>
        </w:r>
        <w:r w:rsidR="000F58B9">
          <w:rPr>
            <w:noProof/>
            <w:webHidden/>
          </w:rPr>
          <w:fldChar w:fldCharType="end"/>
        </w:r>
      </w:hyperlink>
    </w:p>
    <w:p w14:paraId="660421C6" w14:textId="77777777" w:rsidR="000F58B9" w:rsidRDefault="00417A29">
      <w:pPr>
        <w:pStyle w:val="TOC3"/>
        <w:rPr>
          <w:rFonts w:asciiTheme="minorHAnsi" w:eastAsiaTheme="minorEastAsia" w:hAnsiTheme="minorHAnsi" w:cstheme="minorBidi"/>
          <w:noProof/>
          <w:sz w:val="24"/>
          <w:lang w:val="en-GB" w:eastAsia="en-GB"/>
        </w:rPr>
      </w:pPr>
      <w:hyperlink w:anchor="_Toc495562572" w:history="1">
        <w:r w:rsidR="000F58B9" w:rsidRPr="00E02757">
          <w:rPr>
            <w:rStyle w:val="Hyperlink"/>
            <w:noProof/>
            <w:lang w:val="en-GB"/>
          </w:rPr>
          <w:t>6.3.3</w:t>
        </w:r>
        <w:r w:rsidR="000F58B9">
          <w:rPr>
            <w:rFonts w:asciiTheme="minorHAnsi" w:eastAsiaTheme="minorEastAsia" w:hAnsiTheme="minorHAnsi" w:cstheme="minorBidi"/>
            <w:noProof/>
            <w:sz w:val="24"/>
            <w:lang w:val="en-GB" w:eastAsia="en-GB"/>
          </w:rPr>
          <w:tab/>
        </w:r>
        <w:r w:rsidR="000F58B9" w:rsidRPr="00E02757">
          <w:rPr>
            <w:rStyle w:val="Hyperlink"/>
            <w:noProof/>
            <w:lang w:val="en-GB"/>
          </w:rPr>
          <w:t>Specific Scenarios</w:t>
        </w:r>
        <w:r w:rsidR="000F58B9">
          <w:rPr>
            <w:noProof/>
            <w:webHidden/>
          </w:rPr>
          <w:tab/>
        </w:r>
        <w:r w:rsidR="000F58B9">
          <w:rPr>
            <w:noProof/>
            <w:webHidden/>
          </w:rPr>
          <w:fldChar w:fldCharType="begin"/>
        </w:r>
        <w:r w:rsidR="000F58B9">
          <w:rPr>
            <w:noProof/>
            <w:webHidden/>
          </w:rPr>
          <w:instrText xml:space="preserve"> PAGEREF _Toc495562572 \h </w:instrText>
        </w:r>
        <w:r w:rsidR="000F58B9">
          <w:rPr>
            <w:noProof/>
            <w:webHidden/>
          </w:rPr>
        </w:r>
        <w:r w:rsidR="000F58B9">
          <w:rPr>
            <w:noProof/>
            <w:webHidden/>
          </w:rPr>
          <w:fldChar w:fldCharType="separate"/>
        </w:r>
        <w:r w:rsidR="000F58B9">
          <w:rPr>
            <w:noProof/>
            <w:webHidden/>
          </w:rPr>
          <w:t>34</w:t>
        </w:r>
        <w:r w:rsidR="000F58B9">
          <w:rPr>
            <w:noProof/>
            <w:webHidden/>
          </w:rPr>
          <w:fldChar w:fldCharType="end"/>
        </w:r>
      </w:hyperlink>
    </w:p>
    <w:p w14:paraId="47909979" w14:textId="77777777" w:rsidR="000F58B9" w:rsidRDefault="00417A29">
      <w:pPr>
        <w:pStyle w:val="TOC2"/>
        <w:rPr>
          <w:rFonts w:asciiTheme="minorHAnsi" w:eastAsiaTheme="minorEastAsia" w:hAnsiTheme="minorHAnsi" w:cstheme="minorBidi"/>
          <w:sz w:val="24"/>
          <w:lang w:val="en-GB" w:eastAsia="en-GB"/>
        </w:rPr>
      </w:pPr>
      <w:hyperlink w:anchor="_Toc495562573" w:history="1">
        <w:r w:rsidR="000F58B9" w:rsidRPr="00E02757">
          <w:rPr>
            <w:rStyle w:val="Hyperlink"/>
            <w:lang w:val="en-GB"/>
          </w:rPr>
          <w:t>6.4</w:t>
        </w:r>
        <w:r w:rsidR="000F58B9">
          <w:rPr>
            <w:rFonts w:asciiTheme="minorHAnsi" w:eastAsiaTheme="minorEastAsia" w:hAnsiTheme="minorHAnsi" w:cstheme="minorBidi"/>
            <w:sz w:val="24"/>
            <w:lang w:val="en-GB" w:eastAsia="en-GB"/>
          </w:rPr>
          <w:tab/>
        </w:r>
        <w:r w:rsidR="000F58B9" w:rsidRPr="00E02757">
          <w:rPr>
            <w:rStyle w:val="Hyperlink"/>
            <w:lang w:val="en-GB"/>
          </w:rPr>
          <w:t>Other Trading Models</w:t>
        </w:r>
        <w:r w:rsidR="000F58B9">
          <w:rPr>
            <w:webHidden/>
          </w:rPr>
          <w:tab/>
        </w:r>
        <w:r w:rsidR="000F58B9">
          <w:rPr>
            <w:webHidden/>
          </w:rPr>
          <w:fldChar w:fldCharType="begin"/>
        </w:r>
        <w:r w:rsidR="000F58B9">
          <w:rPr>
            <w:webHidden/>
          </w:rPr>
          <w:instrText xml:space="preserve"> PAGEREF _Toc495562573 \h </w:instrText>
        </w:r>
        <w:r w:rsidR="000F58B9">
          <w:rPr>
            <w:webHidden/>
          </w:rPr>
        </w:r>
        <w:r w:rsidR="000F58B9">
          <w:rPr>
            <w:webHidden/>
          </w:rPr>
          <w:fldChar w:fldCharType="separate"/>
        </w:r>
        <w:r w:rsidR="000F58B9">
          <w:rPr>
            <w:webHidden/>
          </w:rPr>
          <w:t>34</w:t>
        </w:r>
        <w:r w:rsidR="000F58B9">
          <w:rPr>
            <w:webHidden/>
          </w:rPr>
          <w:fldChar w:fldCharType="end"/>
        </w:r>
      </w:hyperlink>
    </w:p>
    <w:p w14:paraId="115C8A0E" w14:textId="77777777" w:rsidR="000F58B9" w:rsidRDefault="00417A29">
      <w:pPr>
        <w:pStyle w:val="TOC2"/>
        <w:rPr>
          <w:rFonts w:asciiTheme="minorHAnsi" w:eastAsiaTheme="minorEastAsia" w:hAnsiTheme="minorHAnsi" w:cstheme="minorBidi"/>
          <w:sz w:val="24"/>
          <w:lang w:val="en-GB" w:eastAsia="en-GB"/>
        </w:rPr>
      </w:pPr>
      <w:hyperlink w:anchor="_Toc495562574" w:history="1">
        <w:r w:rsidR="000F58B9" w:rsidRPr="00E02757">
          <w:rPr>
            <w:rStyle w:val="Hyperlink"/>
            <w:lang w:val="en-GB"/>
          </w:rPr>
          <w:t>6.5</w:t>
        </w:r>
        <w:r w:rsidR="000F58B9">
          <w:rPr>
            <w:rFonts w:asciiTheme="minorHAnsi" w:eastAsiaTheme="minorEastAsia" w:hAnsiTheme="minorHAnsi" w:cstheme="minorBidi"/>
            <w:sz w:val="24"/>
            <w:lang w:val="en-GB" w:eastAsia="en-GB"/>
          </w:rPr>
          <w:tab/>
        </w:r>
        <w:r w:rsidR="000F58B9" w:rsidRPr="00E02757">
          <w:rPr>
            <w:rStyle w:val="Hyperlink"/>
            <w:lang w:val="en-GB"/>
          </w:rPr>
          <w:t>Specific Scenarios for Bonds</w:t>
        </w:r>
        <w:r w:rsidR="000F58B9">
          <w:rPr>
            <w:webHidden/>
          </w:rPr>
          <w:tab/>
        </w:r>
        <w:r w:rsidR="000F58B9">
          <w:rPr>
            <w:webHidden/>
          </w:rPr>
          <w:fldChar w:fldCharType="begin"/>
        </w:r>
        <w:r w:rsidR="000F58B9">
          <w:rPr>
            <w:webHidden/>
          </w:rPr>
          <w:instrText xml:space="preserve"> PAGEREF _Toc495562574 \h </w:instrText>
        </w:r>
        <w:r w:rsidR="000F58B9">
          <w:rPr>
            <w:webHidden/>
          </w:rPr>
        </w:r>
        <w:r w:rsidR="000F58B9">
          <w:rPr>
            <w:webHidden/>
          </w:rPr>
          <w:fldChar w:fldCharType="separate"/>
        </w:r>
        <w:r w:rsidR="000F58B9">
          <w:rPr>
            <w:webHidden/>
          </w:rPr>
          <w:t>37</w:t>
        </w:r>
        <w:r w:rsidR="000F58B9">
          <w:rPr>
            <w:webHidden/>
          </w:rPr>
          <w:fldChar w:fldCharType="end"/>
        </w:r>
      </w:hyperlink>
    </w:p>
    <w:p w14:paraId="2628FF6C" w14:textId="77777777" w:rsidR="000F58B9" w:rsidRDefault="00417A29">
      <w:pPr>
        <w:pStyle w:val="TOC3"/>
        <w:rPr>
          <w:rFonts w:asciiTheme="minorHAnsi" w:eastAsiaTheme="minorEastAsia" w:hAnsiTheme="minorHAnsi" w:cstheme="minorBidi"/>
          <w:noProof/>
          <w:sz w:val="24"/>
          <w:lang w:val="en-GB" w:eastAsia="en-GB"/>
        </w:rPr>
      </w:pPr>
      <w:hyperlink w:anchor="_Toc495562575" w:history="1">
        <w:r w:rsidR="000F58B9" w:rsidRPr="00E02757">
          <w:rPr>
            <w:rStyle w:val="Hyperlink"/>
            <w:noProof/>
            <w:lang w:val="en-GB"/>
          </w:rPr>
          <w:t>6.5.1</w:t>
        </w:r>
        <w:r w:rsidR="000F58B9">
          <w:rPr>
            <w:rFonts w:asciiTheme="minorHAnsi" w:eastAsiaTheme="minorEastAsia" w:hAnsiTheme="minorHAnsi" w:cstheme="minorBidi"/>
            <w:noProof/>
            <w:sz w:val="24"/>
            <w:lang w:val="en-GB" w:eastAsia="en-GB"/>
          </w:rPr>
          <w:tab/>
        </w:r>
        <w:r w:rsidR="000F58B9" w:rsidRPr="00E02757">
          <w:rPr>
            <w:rStyle w:val="Hyperlink"/>
            <w:noProof/>
            <w:lang w:val="en-GB"/>
          </w:rPr>
          <w:t>Firm Quote</w:t>
        </w:r>
        <w:r w:rsidR="000F58B9">
          <w:rPr>
            <w:noProof/>
            <w:webHidden/>
          </w:rPr>
          <w:tab/>
        </w:r>
        <w:r w:rsidR="000F58B9">
          <w:rPr>
            <w:noProof/>
            <w:webHidden/>
          </w:rPr>
          <w:fldChar w:fldCharType="begin"/>
        </w:r>
        <w:r w:rsidR="000F58B9">
          <w:rPr>
            <w:noProof/>
            <w:webHidden/>
          </w:rPr>
          <w:instrText xml:space="preserve"> PAGEREF _Toc495562575 \h </w:instrText>
        </w:r>
        <w:r w:rsidR="000F58B9">
          <w:rPr>
            <w:noProof/>
            <w:webHidden/>
          </w:rPr>
        </w:r>
        <w:r w:rsidR="000F58B9">
          <w:rPr>
            <w:noProof/>
            <w:webHidden/>
          </w:rPr>
          <w:fldChar w:fldCharType="separate"/>
        </w:r>
        <w:r w:rsidR="000F58B9">
          <w:rPr>
            <w:noProof/>
            <w:webHidden/>
          </w:rPr>
          <w:t>37</w:t>
        </w:r>
        <w:r w:rsidR="000F58B9">
          <w:rPr>
            <w:noProof/>
            <w:webHidden/>
          </w:rPr>
          <w:fldChar w:fldCharType="end"/>
        </w:r>
      </w:hyperlink>
    </w:p>
    <w:p w14:paraId="0DDB9EE4" w14:textId="77777777" w:rsidR="000F58B9" w:rsidRDefault="00417A29">
      <w:pPr>
        <w:pStyle w:val="TOC3"/>
        <w:rPr>
          <w:rFonts w:asciiTheme="minorHAnsi" w:eastAsiaTheme="minorEastAsia" w:hAnsiTheme="minorHAnsi" w:cstheme="minorBidi"/>
          <w:noProof/>
          <w:sz w:val="24"/>
          <w:lang w:val="en-GB" w:eastAsia="en-GB"/>
        </w:rPr>
      </w:pPr>
      <w:hyperlink w:anchor="_Toc495562576" w:history="1">
        <w:r w:rsidR="000F58B9" w:rsidRPr="00E02757">
          <w:rPr>
            <w:rStyle w:val="Hyperlink"/>
            <w:noProof/>
            <w:lang w:val="en-GB"/>
          </w:rPr>
          <w:t>6.5.2</w:t>
        </w:r>
        <w:r w:rsidR="000F58B9">
          <w:rPr>
            <w:rFonts w:asciiTheme="minorHAnsi" w:eastAsiaTheme="minorEastAsia" w:hAnsiTheme="minorHAnsi" w:cstheme="minorBidi"/>
            <w:noProof/>
            <w:sz w:val="24"/>
            <w:lang w:val="en-GB" w:eastAsia="en-GB"/>
          </w:rPr>
          <w:tab/>
        </w:r>
        <w:r w:rsidR="000F58B9" w:rsidRPr="00E02757">
          <w:rPr>
            <w:rStyle w:val="Hyperlink"/>
            <w:noProof/>
            <w:lang w:val="en-GB"/>
          </w:rPr>
          <w:t>Indicative Quote</w:t>
        </w:r>
        <w:r w:rsidR="000F58B9">
          <w:rPr>
            <w:noProof/>
            <w:webHidden/>
          </w:rPr>
          <w:tab/>
        </w:r>
        <w:r w:rsidR="000F58B9">
          <w:rPr>
            <w:noProof/>
            <w:webHidden/>
          </w:rPr>
          <w:fldChar w:fldCharType="begin"/>
        </w:r>
        <w:r w:rsidR="000F58B9">
          <w:rPr>
            <w:noProof/>
            <w:webHidden/>
          </w:rPr>
          <w:instrText xml:space="preserve"> PAGEREF _Toc495562576 \h </w:instrText>
        </w:r>
        <w:r w:rsidR="000F58B9">
          <w:rPr>
            <w:noProof/>
            <w:webHidden/>
          </w:rPr>
        </w:r>
        <w:r w:rsidR="000F58B9">
          <w:rPr>
            <w:noProof/>
            <w:webHidden/>
          </w:rPr>
          <w:fldChar w:fldCharType="separate"/>
        </w:r>
        <w:r w:rsidR="000F58B9">
          <w:rPr>
            <w:noProof/>
            <w:webHidden/>
          </w:rPr>
          <w:t>37</w:t>
        </w:r>
        <w:r w:rsidR="000F58B9">
          <w:rPr>
            <w:noProof/>
            <w:webHidden/>
          </w:rPr>
          <w:fldChar w:fldCharType="end"/>
        </w:r>
      </w:hyperlink>
    </w:p>
    <w:p w14:paraId="3D6B3D56" w14:textId="77777777" w:rsidR="000F58B9" w:rsidRDefault="00417A29">
      <w:pPr>
        <w:pStyle w:val="TOC2"/>
        <w:rPr>
          <w:rFonts w:asciiTheme="minorHAnsi" w:eastAsiaTheme="minorEastAsia" w:hAnsiTheme="minorHAnsi" w:cstheme="minorBidi"/>
          <w:sz w:val="24"/>
          <w:lang w:val="en-GB" w:eastAsia="en-GB"/>
        </w:rPr>
      </w:pPr>
      <w:hyperlink w:anchor="_Toc495562577" w:history="1">
        <w:r w:rsidR="000F58B9" w:rsidRPr="00E02757">
          <w:rPr>
            <w:rStyle w:val="Hyperlink"/>
            <w:lang w:val="en-GB"/>
          </w:rPr>
          <w:t>6.6</w:t>
        </w:r>
        <w:r w:rsidR="000F58B9">
          <w:rPr>
            <w:rFonts w:asciiTheme="minorHAnsi" w:eastAsiaTheme="minorEastAsia" w:hAnsiTheme="minorHAnsi" w:cstheme="minorBidi"/>
            <w:sz w:val="24"/>
            <w:lang w:val="en-GB" w:eastAsia="en-GB"/>
          </w:rPr>
          <w:tab/>
        </w:r>
        <w:r w:rsidR="000F58B9" w:rsidRPr="00E02757">
          <w:rPr>
            <w:rStyle w:val="Hyperlink"/>
            <w:lang w:val="en-GB"/>
          </w:rPr>
          <w:t>Specific Scenarios for Derivatives</w:t>
        </w:r>
        <w:r w:rsidR="000F58B9">
          <w:rPr>
            <w:webHidden/>
          </w:rPr>
          <w:tab/>
        </w:r>
        <w:r w:rsidR="000F58B9">
          <w:rPr>
            <w:webHidden/>
          </w:rPr>
          <w:fldChar w:fldCharType="begin"/>
        </w:r>
        <w:r w:rsidR="000F58B9">
          <w:rPr>
            <w:webHidden/>
          </w:rPr>
          <w:instrText xml:space="preserve"> PAGEREF _Toc495562577 \h </w:instrText>
        </w:r>
        <w:r w:rsidR="000F58B9">
          <w:rPr>
            <w:webHidden/>
          </w:rPr>
        </w:r>
        <w:r w:rsidR="000F58B9">
          <w:rPr>
            <w:webHidden/>
          </w:rPr>
          <w:fldChar w:fldCharType="separate"/>
        </w:r>
        <w:r w:rsidR="000F58B9">
          <w:rPr>
            <w:webHidden/>
          </w:rPr>
          <w:t>38</w:t>
        </w:r>
        <w:r w:rsidR="000F58B9">
          <w:rPr>
            <w:webHidden/>
          </w:rPr>
          <w:fldChar w:fldCharType="end"/>
        </w:r>
      </w:hyperlink>
    </w:p>
    <w:p w14:paraId="561CE209" w14:textId="77777777" w:rsidR="000F58B9" w:rsidRDefault="00417A29">
      <w:pPr>
        <w:pStyle w:val="TOC3"/>
        <w:rPr>
          <w:rFonts w:asciiTheme="minorHAnsi" w:eastAsiaTheme="minorEastAsia" w:hAnsiTheme="minorHAnsi" w:cstheme="minorBidi"/>
          <w:noProof/>
          <w:sz w:val="24"/>
          <w:lang w:val="en-GB" w:eastAsia="en-GB"/>
        </w:rPr>
      </w:pPr>
      <w:hyperlink w:anchor="_Toc495562578" w:history="1">
        <w:r w:rsidR="000F58B9" w:rsidRPr="00E02757">
          <w:rPr>
            <w:rStyle w:val="Hyperlink"/>
            <w:noProof/>
            <w:lang w:val="en-GB"/>
          </w:rPr>
          <w:t>6.6.1</w:t>
        </w:r>
        <w:r w:rsidR="000F58B9">
          <w:rPr>
            <w:rFonts w:asciiTheme="minorHAnsi" w:eastAsiaTheme="minorEastAsia" w:hAnsiTheme="minorHAnsi" w:cstheme="minorBidi"/>
            <w:noProof/>
            <w:sz w:val="24"/>
            <w:lang w:val="en-GB" w:eastAsia="en-GB"/>
          </w:rPr>
          <w:tab/>
        </w:r>
        <w:r w:rsidR="000F58B9" w:rsidRPr="00E02757">
          <w:rPr>
            <w:rStyle w:val="Hyperlink"/>
            <w:noProof/>
            <w:lang w:val="en-GB"/>
          </w:rPr>
          <w:t>Firm Quote</w:t>
        </w:r>
        <w:r w:rsidR="000F58B9">
          <w:rPr>
            <w:noProof/>
            <w:webHidden/>
          </w:rPr>
          <w:tab/>
        </w:r>
        <w:r w:rsidR="000F58B9">
          <w:rPr>
            <w:noProof/>
            <w:webHidden/>
          </w:rPr>
          <w:fldChar w:fldCharType="begin"/>
        </w:r>
        <w:r w:rsidR="000F58B9">
          <w:rPr>
            <w:noProof/>
            <w:webHidden/>
          </w:rPr>
          <w:instrText xml:space="preserve"> PAGEREF _Toc495562578 \h </w:instrText>
        </w:r>
        <w:r w:rsidR="000F58B9">
          <w:rPr>
            <w:noProof/>
            <w:webHidden/>
          </w:rPr>
        </w:r>
        <w:r w:rsidR="000F58B9">
          <w:rPr>
            <w:noProof/>
            <w:webHidden/>
          </w:rPr>
          <w:fldChar w:fldCharType="separate"/>
        </w:r>
        <w:r w:rsidR="000F58B9">
          <w:rPr>
            <w:noProof/>
            <w:webHidden/>
          </w:rPr>
          <w:t>38</w:t>
        </w:r>
        <w:r w:rsidR="000F58B9">
          <w:rPr>
            <w:noProof/>
            <w:webHidden/>
          </w:rPr>
          <w:fldChar w:fldCharType="end"/>
        </w:r>
      </w:hyperlink>
    </w:p>
    <w:p w14:paraId="2D184C49" w14:textId="77777777" w:rsidR="000F58B9" w:rsidRDefault="00417A29">
      <w:pPr>
        <w:pStyle w:val="TOC3"/>
        <w:rPr>
          <w:rFonts w:asciiTheme="minorHAnsi" w:eastAsiaTheme="minorEastAsia" w:hAnsiTheme="minorHAnsi" w:cstheme="minorBidi"/>
          <w:noProof/>
          <w:sz w:val="24"/>
          <w:lang w:val="en-GB" w:eastAsia="en-GB"/>
        </w:rPr>
      </w:pPr>
      <w:hyperlink w:anchor="_Toc495562579" w:history="1">
        <w:r w:rsidR="000F58B9" w:rsidRPr="00E02757">
          <w:rPr>
            <w:rStyle w:val="Hyperlink"/>
            <w:noProof/>
            <w:lang w:val="en-GB"/>
          </w:rPr>
          <w:t>6.6.2</w:t>
        </w:r>
        <w:r w:rsidR="000F58B9">
          <w:rPr>
            <w:rFonts w:asciiTheme="minorHAnsi" w:eastAsiaTheme="minorEastAsia" w:hAnsiTheme="minorHAnsi" w:cstheme="minorBidi"/>
            <w:noProof/>
            <w:sz w:val="24"/>
            <w:lang w:val="en-GB" w:eastAsia="en-GB"/>
          </w:rPr>
          <w:tab/>
        </w:r>
        <w:r w:rsidR="000F58B9" w:rsidRPr="00E02757">
          <w:rPr>
            <w:rStyle w:val="Hyperlink"/>
            <w:noProof/>
            <w:lang w:val="en-GB"/>
          </w:rPr>
          <w:t>Indicative Quote</w:t>
        </w:r>
        <w:r w:rsidR="000F58B9">
          <w:rPr>
            <w:noProof/>
            <w:webHidden/>
          </w:rPr>
          <w:tab/>
        </w:r>
        <w:r w:rsidR="000F58B9">
          <w:rPr>
            <w:noProof/>
            <w:webHidden/>
          </w:rPr>
          <w:fldChar w:fldCharType="begin"/>
        </w:r>
        <w:r w:rsidR="000F58B9">
          <w:rPr>
            <w:noProof/>
            <w:webHidden/>
          </w:rPr>
          <w:instrText xml:space="preserve"> PAGEREF _Toc495562579 \h </w:instrText>
        </w:r>
        <w:r w:rsidR="000F58B9">
          <w:rPr>
            <w:noProof/>
            <w:webHidden/>
          </w:rPr>
        </w:r>
        <w:r w:rsidR="000F58B9">
          <w:rPr>
            <w:noProof/>
            <w:webHidden/>
          </w:rPr>
          <w:fldChar w:fldCharType="separate"/>
        </w:r>
        <w:r w:rsidR="000F58B9">
          <w:rPr>
            <w:noProof/>
            <w:webHidden/>
          </w:rPr>
          <w:t>38</w:t>
        </w:r>
        <w:r w:rsidR="000F58B9">
          <w:rPr>
            <w:noProof/>
            <w:webHidden/>
          </w:rPr>
          <w:fldChar w:fldCharType="end"/>
        </w:r>
      </w:hyperlink>
    </w:p>
    <w:p w14:paraId="18335E45" w14:textId="77777777" w:rsidR="000F58B9" w:rsidRDefault="00417A29">
      <w:pPr>
        <w:pStyle w:val="TOC2"/>
        <w:rPr>
          <w:rFonts w:asciiTheme="minorHAnsi" w:eastAsiaTheme="minorEastAsia" w:hAnsiTheme="minorHAnsi" w:cstheme="minorBidi"/>
          <w:sz w:val="24"/>
          <w:lang w:val="en-GB" w:eastAsia="en-GB"/>
        </w:rPr>
      </w:pPr>
      <w:hyperlink w:anchor="_Toc495562580" w:history="1">
        <w:r w:rsidR="000F58B9" w:rsidRPr="00E02757">
          <w:rPr>
            <w:rStyle w:val="Hyperlink"/>
            <w:lang w:val="en-GB"/>
          </w:rPr>
          <w:t>6.7</w:t>
        </w:r>
        <w:r w:rsidR="000F58B9">
          <w:rPr>
            <w:rFonts w:asciiTheme="minorHAnsi" w:eastAsiaTheme="minorEastAsia" w:hAnsiTheme="minorHAnsi" w:cstheme="minorBidi"/>
            <w:sz w:val="24"/>
            <w:lang w:val="en-GB" w:eastAsia="en-GB"/>
          </w:rPr>
          <w:tab/>
        </w:r>
        <w:r w:rsidR="000F58B9" w:rsidRPr="00E02757">
          <w:rPr>
            <w:rStyle w:val="Hyperlink"/>
            <w:lang w:val="en-GB"/>
          </w:rPr>
          <w:t>Recommended Implementation Practices</w:t>
        </w:r>
        <w:r w:rsidR="000F58B9">
          <w:rPr>
            <w:webHidden/>
          </w:rPr>
          <w:tab/>
        </w:r>
        <w:r w:rsidR="000F58B9">
          <w:rPr>
            <w:webHidden/>
          </w:rPr>
          <w:fldChar w:fldCharType="begin"/>
        </w:r>
        <w:r w:rsidR="000F58B9">
          <w:rPr>
            <w:webHidden/>
          </w:rPr>
          <w:instrText xml:space="preserve"> PAGEREF _Toc495562580 \h </w:instrText>
        </w:r>
        <w:r w:rsidR="000F58B9">
          <w:rPr>
            <w:webHidden/>
          </w:rPr>
        </w:r>
        <w:r w:rsidR="000F58B9">
          <w:rPr>
            <w:webHidden/>
          </w:rPr>
          <w:fldChar w:fldCharType="separate"/>
        </w:r>
        <w:r w:rsidR="000F58B9">
          <w:rPr>
            <w:webHidden/>
          </w:rPr>
          <w:t>38</w:t>
        </w:r>
        <w:r w:rsidR="000F58B9">
          <w:rPr>
            <w:webHidden/>
          </w:rPr>
          <w:fldChar w:fldCharType="end"/>
        </w:r>
      </w:hyperlink>
    </w:p>
    <w:p w14:paraId="05B43711" w14:textId="77777777" w:rsidR="000F58B9" w:rsidRDefault="00417A29">
      <w:pPr>
        <w:pStyle w:val="TOC1"/>
        <w:tabs>
          <w:tab w:val="left" w:pos="450"/>
        </w:tabs>
        <w:rPr>
          <w:rFonts w:asciiTheme="minorHAnsi" w:eastAsiaTheme="minorEastAsia" w:hAnsiTheme="minorHAnsi" w:cstheme="minorBidi"/>
          <w:noProof/>
          <w:sz w:val="24"/>
          <w:lang w:val="en-GB" w:eastAsia="en-GB"/>
        </w:rPr>
      </w:pPr>
      <w:hyperlink w:anchor="_Toc495562581" w:history="1">
        <w:r w:rsidR="000F58B9" w:rsidRPr="00E02757">
          <w:rPr>
            <w:rStyle w:val="Hyperlink"/>
            <w:noProof/>
            <w:lang w:val="en-GB"/>
          </w:rPr>
          <w:t>7</w:t>
        </w:r>
        <w:r w:rsidR="000F58B9">
          <w:rPr>
            <w:rFonts w:asciiTheme="minorHAnsi" w:eastAsiaTheme="minorEastAsia" w:hAnsiTheme="minorHAnsi" w:cstheme="minorBidi"/>
            <w:noProof/>
            <w:sz w:val="24"/>
            <w:lang w:val="en-GB" w:eastAsia="en-GB"/>
          </w:rPr>
          <w:tab/>
        </w:r>
        <w:r w:rsidR="000F58B9" w:rsidRPr="00E02757">
          <w:rPr>
            <w:rStyle w:val="Hyperlink"/>
            <w:noProof/>
            <w:lang w:val="en-GB"/>
          </w:rPr>
          <w:t>RTS 28 Reporting Requirements</w:t>
        </w:r>
        <w:r w:rsidR="000F58B9">
          <w:rPr>
            <w:noProof/>
            <w:webHidden/>
          </w:rPr>
          <w:tab/>
        </w:r>
        <w:r w:rsidR="000F58B9">
          <w:rPr>
            <w:noProof/>
            <w:webHidden/>
          </w:rPr>
          <w:fldChar w:fldCharType="begin"/>
        </w:r>
        <w:r w:rsidR="000F58B9">
          <w:rPr>
            <w:noProof/>
            <w:webHidden/>
          </w:rPr>
          <w:instrText xml:space="preserve"> PAGEREF _Toc495562581 \h </w:instrText>
        </w:r>
        <w:r w:rsidR="000F58B9">
          <w:rPr>
            <w:noProof/>
            <w:webHidden/>
          </w:rPr>
        </w:r>
        <w:r w:rsidR="000F58B9">
          <w:rPr>
            <w:noProof/>
            <w:webHidden/>
          </w:rPr>
          <w:fldChar w:fldCharType="separate"/>
        </w:r>
        <w:r w:rsidR="000F58B9">
          <w:rPr>
            <w:noProof/>
            <w:webHidden/>
          </w:rPr>
          <w:t>39</w:t>
        </w:r>
        <w:r w:rsidR="000F58B9">
          <w:rPr>
            <w:noProof/>
            <w:webHidden/>
          </w:rPr>
          <w:fldChar w:fldCharType="end"/>
        </w:r>
      </w:hyperlink>
    </w:p>
    <w:p w14:paraId="6DB12AEA" w14:textId="77777777" w:rsidR="000F58B9" w:rsidRDefault="00417A29">
      <w:pPr>
        <w:pStyle w:val="TOC2"/>
        <w:rPr>
          <w:rFonts w:asciiTheme="minorHAnsi" w:eastAsiaTheme="minorEastAsia" w:hAnsiTheme="minorHAnsi" w:cstheme="minorBidi"/>
          <w:sz w:val="24"/>
          <w:lang w:val="en-GB" w:eastAsia="en-GB"/>
        </w:rPr>
      </w:pPr>
      <w:hyperlink w:anchor="_Toc495562582" w:history="1">
        <w:r w:rsidR="000F58B9" w:rsidRPr="00E02757">
          <w:rPr>
            <w:rStyle w:val="Hyperlink"/>
            <w:lang w:val="en-GB"/>
          </w:rPr>
          <w:t>Generic Requirements</w:t>
        </w:r>
        <w:r w:rsidR="000F58B9">
          <w:rPr>
            <w:webHidden/>
          </w:rPr>
          <w:tab/>
        </w:r>
        <w:r w:rsidR="000F58B9">
          <w:rPr>
            <w:webHidden/>
          </w:rPr>
          <w:fldChar w:fldCharType="begin"/>
        </w:r>
        <w:r w:rsidR="000F58B9">
          <w:rPr>
            <w:webHidden/>
          </w:rPr>
          <w:instrText xml:space="preserve"> PAGEREF _Toc495562582 \h </w:instrText>
        </w:r>
        <w:r w:rsidR="000F58B9">
          <w:rPr>
            <w:webHidden/>
          </w:rPr>
        </w:r>
        <w:r w:rsidR="000F58B9">
          <w:rPr>
            <w:webHidden/>
          </w:rPr>
          <w:fldChar w:fldCharType="separate"/>
        </w:r>
        <w:r w:rsidR="000F58B9">
          <w:rPr>
            <w:webHidden/>
          </w:rPr>
          <w:t>39</w:t>
        </w:r>
        <w:r w:rsidR="000F58B9">
          <w:rPr>
            <w:webHidden/>
          </w:rPr>
          <w:fldChar w:fldCharType="end"/>
        </w:r>
      </w:hyperlink>
    </w:p>
    <w:p w14:paraId="40C84580" w14:textId="77777777" w:rsidR="000F58B9" w:rsidRDefault="00417A29">
      <w:pPr>
        <w:pStyle w:val="TOC2"/>
        <w:rPr>
          <w:rFonts w:asciiTheme="minorHAnsi" w:eastAsiaTheme="minorEastAsia" w:hAnsiTheme="minorHAnsi" w:cstheme="minorBidi"/>
          <w:sz w:val="24"/>
          <w:lang w:val="en-GB" w:eastAsia="en-GB"/>
        </w:rPr>
      </w:pPr>
      <w:hyperlink w:anchor="_Toc495562583" w:history="1">
        <w:r w:rsidR="000F58B9" w:rsidRPr="00E02757">
          <w:rPr>
            <w:rStyle w:val="Hyperlink"/>
            <w:lang w:val="en-GB"/>
          </w:rPr>
          <w:t>7.1</w:t>
        </w:r>
        <w:r w:rsidR="000F58B9">
          <w:rPr>
            <w:rFonts w:asciiTheme="minorHAnsi" w:eastAsiaTheme="minorEastAsia" w:hAnsiTheme="minorHAnsi" w:cstheme="minorBidi"/>
            <w:sz w:val="24"/>
            <w:lang w:val="en-GB" w:eastAsia="en-GB"/>
          </w:rPr>
          <w:tab/>
        </w:r>
        <w:r w:rsidR="000F58B9" w:rsidRPr="00E02757">
          <w:rPr>
            <w:rStyle w:val="Hyperlink"/>
            <w:lang w:val="en-GB"/>
          </w:rPr>
          <w:t>Which Reports to Produce</w:t>
        </w:r>
        <w:r w:rsidR="000F58B9">
          <w:rPr>
            <w:webHidden/>
          </w:rPr>
          <w:tab/>
        </w:r>
        <w:r w:rsidR="000F58B9">
          <w:rPr>
            <w:webHidden/>
          </w:rPr>
          <w:fldChar w:fldCharType="begin"/>
        </w:r>
        <w:r w:rsidR="000F58B9">
          <w:rPr>
            <w:webHidden/>
          </w:rPr>
          <w:instrText xml:space="preserve"> PAGEREF _Toc495562583 \h </w:instrText>
        </w:r>
        <w:r w:rsidR="000F58B9">
          <w:rPr>
            <w:webHidden/>
          </w:rPr>
        </w:r>
        <w:r w:rsidR="000F58B9">
          <w:rPr>
            <w:webHidden/>
          </w:rPr>
          <w:fldChar w:fldCharType="separate"/>
        </w:r>
        <w:r w:rsidR="000F58B9">
          <w:rPr>
            <w:webHidden/>
          </w:rPr>
          <w:t>39</w:t>
        </w:r>
        <w:r w:rsidR="000F58B9">
          <w:rPr>
            <w:webHidden/>
          </w:rPr>
          <w:fldChar w:fldCharType="end"/>
        </w:r>
      </w:hyperlink>
    </w:p>
    <w:p w14:paraId="5E1F07F4" w14:textId="77777777" w:rsidR="000F58B9" w:rsidRDefault="00417A29">
      <w:pPr>
        <w:pStyle w:val="TOC2"/>
        <w:rPr>
          <w:rFonts w:asciiTheme="minorHAnsi" w:eastAsiaTheme="minorEastAsia" w:hAnsiTheme="minorHAnsi" w:cstheme="minorBidi"/>
          <w:sz w:val="24"/>
          <w:lang w:val="en-GB" w:eastAsia="en-GB"/>
        </w:rPr>
      </w:pPr>
      <w:hyperlink w:anchor="_Toc495562584" w:history="1">
        <w:r w:rsidR="000F58B9" w:rsidRPr="00E02757">
          <w:rPr>
            <w:rStyle w:val="Hyperlink"/>
            <w:lang w:val="en-GB"/>
          </w:rPr>
          <w:t>7.2</w:t>
        </w:r>
        <w:r w:rsidR="000F58B9">
          <w:rPr>
            <w:rFonts w:asciiTheme="minorHAnsi" w:eastAsiaTheme="minorEastAsia" w:hAnsiTheme="minorHAnsi" w:cstheme="minorBidi"/>
            <w:sz w:val="24"/>
            <w:lang w:val="en-GB" w:eastAsia="en-GB"/>
          </w:rPr>
          <w:tab/>
        </w:r>
        <w:r w:rsidR="000F58B9" w:rsidRPr="00E02757">
          <w:rPr>
            <w:rStyle w:val="Hyperlink"/>
            <w:lang w:val="en-GB"/>
          </w:rPr>
          <w:t>Timing of Reports</w:t>
        </w:r>
        <w:r w:rsidR="000F58B9">
          <w:rPr>
            <w:webHidden/>
          </w:rPr>
          <w:tab/>
        </w:r>
        <w:r w:rsidR="000F58B9">
          <w:rPr>
            <w:webHidden/>
          </w:rPr>
          <w:fldChar w:fldCharType="begin"/>
        </w:r>
        <w:r w:rsidR="000F58B9">
          <w:rPr>
            <w:webHidden/>
          </w:rPr>
          <w:instrText xml:space="preserve"> PAGEREF _Toc495562584 \h </w:instrText>
        </w:r>
        <w:r w:rsidR="000F58B9">
          <w:rPr>
            <w:webHidden/>
          </w:rPr>
        </w:r>
        <w:r w:rsidR="000F58B9">
          <w:rPr>
            <w:webHidden/>
          </w:rPr>
          <w:fldChar w:fldCharType="separate"/>
        </w:r>
        <w:r w:rsidR="000F58B9">
          <w:rPr>
            <w:webHidden/>
          </w:rPr>
          <w:t>40</w:t>
        </w:r>
        <w:r w:rsidR="000F58B9">
          <w:rPr>
            <w:webHidden/>
          </w:rPr>
          <w:fldChar w:fldCharType="end"/>
        </w:r>
      </w:hyperlink>
    </w:p>
    <w:p w14:paraId="67810E47" w14:textId="77777777" w:rsidR="000F58B9" w:rsidRDefault="00417A29">
      <w:pPr>
        <w:pStyle w:val="TOC2"/>
        <w:rPr>
          <w:rFonts w:asciiTheme="minorHAnsi" w:eastAsiaTheme="minorEastAsia" w:hAnsiTheme="minorHAnsi" w:cstheme="minorBidi"/>
          <w:sz w:val="24"/>
          <w:lang w:val="en-GB" w:eastAsia="en-GB"/>
        </w:rPr>
      </w:pPr>
      <w:hyperlink w:anchor="_Toc495562585" w:history="1">
        <w:r w:rsidR="000F58B9" w:rsidRPr="00E02757">
          <w:rPr>
            <w:rStyle w:val="Hyperlink"/>
            <w:lang w:val="en-GB"/>
          </w:rPr>
          <w:t>7.3</w:t>
        </w:r>
        <w:r w:rsidR="000F58B9">
          <w:rPr>
            <w:rFonts w:asciiTheme="minorHAnsi" w:eastAsiaTheme="minorEastAsia" w:hAnsiTheme="minorHAnsi" w:cstheme="minorBidi"/>
            <w:sz w:val="24"/>
            <w:lang w:val="en-GB" w:eastAsia="en-GB"/>
          </w:rPr>
          <w:tab/>
        </w:r>
        <w:r w:rsidR="000F58B9" w:rsidRPr="00E02757">
          <w:rPr>
            <w:rStyle w:val="Hyperlink"/>
            <w:lang w:val="en-GB"/>
          </w:rPr>
          <w:t>Accessibility of Reports</w:t>
        </w:r>
        <w:r w:rsidR="000F58B9">
          <w:rPr>
            <w:webHidden/>
          </w:rPr>
          <w:tab/>
        </w:r>
        <w:r w:rsidR="000F58B9">
          <w:rPr>
            <w:webHidden/>
          </w:rPr>
          <w:fldChar w:fldCharType="begin"/>
        </w:r>
        <w:r w:rsidR="000F58B9">
          <w:rPr>
            <w:webHidden/>
          </w:rPr>
          <w:instrText xml:space="preserve"> PAGEREF _Toc495562585 \h </w:instrText>
        </w:r>
        <w:r w:rsidR="000F58B9">
          <w:rPr>
            <w:webHidden/>
          </w:rPr>
        </w:r>
        <w:r w:rsidR="000F58B9">
          <w:rPr>
            <w:webHidden/>
          </w:rPr>
          <w:fldChar w:fldCharType="separate"/>
        </w:r>
        <w:r w:rsidR="000F58B9">
          <w:rPr>
            <w:webHidden/>
          </w:rPr>
          <w:t>41</w:t>
        </w:r>
        <w:r w:rsidR="000F58B9">
          <w:rPr>
            <w:webHidden/>
          </w:rPr>
          <w:fldChar w:fldCharType="end"/>
        </w:r>
      </w:hyperlink>
    </w:p>
    <w:p w14:paraId="5D0DB68C" w14:textId="77777777" w:rsidR="000F58B9" w:rsidRDefault="00417A29">
      <w:pPr>
        <w:pStyle w:val="TOC2"/>
        <w:rPr>
          <w:rFonts w:asciiTheme="minorHAnsi" w:eastAsiaTheme="minorEastAsia" w:hAnsiTheme="minorHAnsi" w:cstheme="minorBidi"/>
          <w:sz w:val="24"/>
          <w:lang w:val="en-GB" w:eastAsia="en-GB"/>
        </w:rPr>
      </w:pPr>
      <w:hyperlink w:anchor="_Toc495562586" w:history="1">
        <w:r w:rsidR="000F58B9" w:rsidRPr="00E02757">
          <w:rPr>
            <w:rStyle w:val="Hyperlink"/>
            <w:lang w:val="en-GB"/>
          </w:rPr>
          <w:t>7.4</w:t>
        </w:r>
        <w:r w:rsidR="000F58B9">
          <w:rPr>
            <w:rFonts w:asciiTheme="minorHAnsi" w:eastAsiaTheme="minorEastAsia" w:hAnsiTheme="minorHAnsi" w:cstheme="minorBidi"/>
            <w:sz w:val="24"/>
            <w:lang w:val="en-GB" w:eastAsia="en-GB"/>
          </w:rPr>
          <w:tab/>
        </w:r>
        <w:r w:rsidR="000F58B9" w:rsidRPr="00E02757">
          <w:rPr>
            <w:rStyle w:val="Hyperlink"/>
            <w:lang w:val="en-GB"/>
          </w:rPr>
          <w:t>Table 1 - Article 3(1)</w:t>
        </w:r>
        <w:r w:rsidR="000F58B9">
          <w:rPr>
            <w:webHidden/>
          </w:rPr>
          <w:tab/>
        </w:r>
        <w:r w:rsidR="000F58B9">
          <w:rPr>
            <w:webHidden/>
          </w:rPr>
          <w:fldChar w:fldCharType="begin"/>
        </w:r>
        <w:r w:rsidR="000F58B9">
          <w:rPr>
            <w:webHidden/>
          </w:rPr>
          <w:instrText xml:space="preserve"> PAGEREF _Toc495562586 \h </w:instrText>
        </w:r>
        <w:r w:rsidR="000F58B9">
          <w:rPr>
            <w:webHidden/>
          </w:rPr>
        </w:r>
        <w:r w:rsidR="000F58B9">
          <w:rPr>
            <w:webHidden/>
          </w:rPr>
          <w:fldChar w:fldCharType="separate"/>
        </w:r>
        <w:r w:rsidR="000F58B9">
          <w:rPr>
            <w:webHidden/>
          </w:rPr>
          <w:t>41</w:t>
        </w:r>
        <w:r w:rsidR="000F58B9">
          <w:rPr>
            <w:webHidden/>
          </w:rPr>
          <w:fldChar w:fldCharType="end"/>
        </w:r>
      </w:hyperlink>
    </w:p>
    <w:p w14:paraId="70502D8C" w14:textId="509A529C" w:rsidR="000B410A" w:rsidRPr="00995AAB" w:rsidRDefault="007018C6">
      <w:pPr>
        <w:rPr>
          <w:rFonts w:cs="Arial"/>
          <w:sz w:val="18"/>
          <w:szCs w:val="18"/>
          <w:lang w:val="en-GB"/>
        </w:rPr>
      </w:pPr>
      <w:r w:rsidRPr="00396B13">
        <w:rPr>
          <w:rFonts w:cs="Arial"/>
          <w:sz w:val="18"/>
          <w:szCs w:val="18"/>
          <w:lang w:val="en-GB"/>
        </w:rPr>
        <w:fldChar w:fldCharType="end"/>
      </w:r>
    </w:p>
    <w:p w14:paraId="4EF039C3" w14:textId="77777777" w:rsidR="00595D9C" w:rsidRPr="00080375" w:rsidRDefault="00640B1F" w:rsidP="00595D9C">
      <w:pPr>
        <w:pStyle w:val="Heading1"/>
        <w:numPr>
          <w:ilvl w:val="0"/>
          <w:numId w:val="0"/>
        </w:numPr>
        <w:rPr>
          <w:lang w:val="en-GB"/>
        </w:rPr>
      </w:pPr>
      <w:r w:rsidRPr="00080375">
        <w:rPr>
          <w:lang w:val="en-GB"/>
        </w:rPr>
        <w:br w:type="page"/>
      </w:r>
      <w:bookmarkStart w:id="6" w:name="_Toc105492366"/>
      <w:bookmarkStart w:id="7" w:name="_Toc116820695"/>
      <w:r w:rsidR="00790133" w:rsidRPr="00080375">
        <w:rPr>
          <w:lang w:val="en-GB"/>
        </w:rPr>
        <w:lastRenderedPageBreak/>
        <w:t xml:space="preserve"> </w:t>
      </w:r>
      <w:bookmarkStart w:id="8" w:name="_Toc495562545"/>
      <w:r w:rsidR="00595D9C" w:rsidRPr="00080375">
        <w:rPr>
          <w:lang w:val="en-GB"/>
        </w:rPr>
        <w:t>Document History</w:t>
      </w:r>
      <w:bookmarkEnd w:id="6"/>
      <w:bookmarkEnd w:id="7"/>
      <w:bookmarkEnd w:id="8"/>
    </w:p>
    <w:tbl>
      <w:tblPr>
        <w:tblW w:w="9592" w:type="dxa"/>
        <w:tblInd w:w="-3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1222"/>
        <w:gridCol w:w="1440"/>
        <w:gridCol w:w="2520"/>
        <w:gridCol w:w="4410"/>
      </w:tblGrid>
      <w:tr w:rsidR="00595D9C" w:rsidRPr="00080375" w14:paraId="3ACC9F70" w14:textId="77777777" w:rsidTr="00B42EA7">
        <w:trPr>
          <w:tblHeader/>
        </w:trPr>
        <w:tc>
          <w:tcPr>
            <w:tcW w:w="1222" w:type="dxa"/>
            <w:tcBorders>
              <w:top w:val="double" w:sz="4" w:space="0" w:color="auto"/>
              <w:bottom w:val="double" w:sz="4" w:space="0" w:color="auto"/>
            </w:tcBorders>
          </w:tcPr>
          <w:p w14:paraId="70E4C8E0" w14:textId="77777777" w:rsidR="00595D9C" w:rsidRPr="00080375" w:rsidRDefault="00595D9C" w:rsidP="001224E5">
            <w:pPr>
              <w:pStyle w:val="BodyText"/>
              <w:rPr>
                <w:rFonts w:cs="Arial"/>
                <w:b/>
                <w:lang w:val="en-GB"/>
              </w:rPr>
            </w:pPr>
            <w:r w:rsidRPr="00080375">
              <w:rPr>
                <w:rFonts w:cs="Arial"/>
                <w:b/>
                <w:lang w:val="en-GB"/>
              </w:rPr>
              <w:t>Revision</w:t>
            </w:r>
          </w:p>
        </w:tc>
        <w:tc>
          <w:tcPr>
            <w:tcW w:w="1440" w:type="dxa"/>
            <w:tcBorders>
              <w:top w:val="double" w:sz="4" w:space="0" w:color="auto"/>
              <w:bottom w:val="double" w:sz="4" w:space="0" w:color="auto"/>
            </w:tcBorders>
          </w:tcPr>
          <w:p w14:paraId="13FB2DD1" w14:textId="77777777" w:rsidR="00595D9C" w:rsidRPr="00080375" w:rsidRDefault="00595D9C" w:rsidP="001224E5">
            <w:pPr>
              <w:pStyle w:val="BodyText"/>
              <w:rPr>
                <w:rFonts w:cs="Arial"/>
                <w:b/>
                <w:lang w:val="en-GB"/>
              </w:rPr>
            </w:pPr>
            <w:r w:rsidRPr="00080375">
              <w:rPr>
                <w:rFonts w:cs="Arial"/>
                <w:b/>
                <w:lang w:val="en-GB"/>
              </w:rPr>
              <w:t>Date</w:t>
            </w:r>
          </w:p>
        </w:tc>
        <w:tc>
          <w:tcPr>
            <w:tcW w:w="2520" w:type="dxa"/>
            <w:tcBorders>
              <w:top w:val="double" w:sz="4" w:space="0" w:color="auto"/>
              <w:bottom w:val="double" w:sz="4" w:space="0" w:color="auto"/>
            </w:tcBorders>
          </w:tcPr>
          <w:p w14:paraId="261968E5" w14:textId="77777777" w:rsidR="00595D9C" w:rsidRPr="00080375" w:rsidRDefault="00595D9C" w:rsidP="001224E5">
            <w:pPr>
              <w:pStyle w:val="BodyText"/>
              <w:rPr>
                <w:rFonts w:cs="Arial"/>
                <w:b/>
                <w:lang w:val="en-GB"/>
              </w:rPr>
            </w:pPr>
            <w:r w:rsidRPr="00080375">
              <w:rPr>
                <w:rFonts w:cs="Arial"/>
                <w:b/>
                <w:lang w:val="en-GB"/>
              </w:rPr>
              <w:t>Author</w:t>
            </w:r>
            <w:r w:rsidR="007E0AE4" w:rsidRPr="00080375">
              <w:rPr>
                <w:rFonts w:cs="Arial"/>
                <w:b/>
                <w:lang w:val="en-GB"/>
              </w:rPr>
              <w:t>/Editor</w:t>
            </w:r>
          </w:p>
        </w:tc>
        <w:tc>
          <w:tcPr>
            <w:tcW w:w="4410" w:type="dxa"/>
            <w:tcBorders>
              <w:top w:val="double" w:sz="4" w:space="0" w:color="auto"/>
              <w:bottom w:val="double" w:sz="4" w:space="0" w:color="auto"/>
            </w:tcBorders>
          </w:tcPr>
          <w:p w14:paraId="37D9D4FC" w14:textId="77777777" w:rsidR="00595D9C" w:rsidRPr="00080375" w:rsidRDefault="00595D9C" w:rsidP="001224E5">
            <w:pPr>
              <w:pStyle w:val="BodyText"/>
              <w:rPr>
                <w:rFonts w:cs="Arial"/>
                <w:b/>
                <w:lang w:val="en-GB"/>
              </w:rPr>
            </w:pPr>
            <w:r w:rsidRPr="00080375">
              <w:rPr>
                <w:rFonts w:cs="Arial"/>
                <w:b/>
                <w:lang w:val="en-GB"/>
              </w:rPr>
              <w:t>Revision Comments</w:t>
            </w:r>
          </w:p>
        </w:tc>
      </w:tr>
      <w:tr w:rsidR="00595D9C" w:rsidRPr="00080375" w14:paraId="0D394618" w14:textId="77777777" w:rsidTr="00B42EA7">
        <w:tc>
          <w:tcPr>
            <w:tcW w:w="1222" w:type="dxa"/>
            <w:tcBorders>
              <w:top w:val="nil"/>
            </w:tcBorders>
          </w:tcPr>
          <w:p w14:paraId="570D6800" w14:textId="77777777" w:rsidR="00595D9C" w:rsidRPr="00080375" w:rsidRDefault="006E3E2F" w:rsidP="001224E5">
            <w:pPr>
              <w:pStyle w:val="BodyText"/>
              <w:rPr>
                <w:rFonts w:cs="Arial"/>
                <w:lang w:val="en-GB"/>
              </w:rPr>
            </w:pPr>
            <w:r w:rsidRPr="00080375">
              <w:rPr>
                <w:rFonts w:cs="Arial"/>
                <w:lang w:val="en-GB"/>
              </w:rPr>
              <w:t>0.1</w:t>
            </w:r>
          </w:p>
        </w:tc>
        <w:tc>
          <w:tcPr>
            <w:tcW w:w="1440" w:type="dxa"/>
            <w:tcBorders>
              <w:top w:val="nil"/>
            </w:tcBorders>
          </w:tcPr>
          <w:p w14:paraId="385B9973" w14:textId="77777777" w:rsidR="00595D9C" w:rsidRPr="00080375" w:rsidRDefault="006E3E2F" w:rsidP="001224E5">
            <w:pPr>
              <w:pStyle w:val="BodyText"/>
              <w:rPr>
                <w:rFonts w:cs="Arial"/>
                <w:lang w:val="en-GB"/>
              </w:rPr>
            </w:pPr>
            <w:r w:rsidRPr="00080375">
              <w:rPr>
                <w:rFonts w:cs="Arial"/>
                <w:lang w:val="en-GB"/>
              </w:rPr>
              <w:t>27/09/2016</w:t>
            </w:r>
          </w:p>
        </w:tc>
        <w:tc>
          <w:tcPr>
            <w:tcW w:w="2520" w:type="dxa"/>
            <w:tcBorders>
              <w:top w:val="nil"/>
            </w:tcBorders>
          </w:tcPr>
          <w:p w14:paraId="2D1A9543" w14:textId="77777777" w:rsidR="00595D9C" w:rsidRPr="00080375" w:rsidRDefault="006E3E2F" w:rsidP="001224E5">
            <w:pPr>
              <w:pStyle w:val="BodyText"/>
              <w:rPr>
                <w:rFonts w:cs="Arial"/>
                <w:lang w:val="en-GB"/>
              </w:rPr>
            </w:pPr>
            <w:r w:rsidRPr="00080375">
              <w:rPr>
                <w:rFonts w:cs="Arial"/>
                <w:lang w:val="en-GB"/>
              </w:rPr>
              <w:t>Alex Wolcough</w:t>
            </w:r>
          </w:p>
        </w:tc>
        <w:tc>
          <w:tcPr>
            <w:tcW w:w="4410" w:type="dxa"/>
            <w:tcBorders>
              <w:top w:val="nil"/>
            </w:tcBorders>
          </w:tcPr>
          <w:p w14:paraId="6FDD05ED" w14:textId="77777777" w:rsidR="00595D9C" w:rsidRPr="00080375" w:rsidRDefault="006E3E2F" w:rsidP="001224E5">
            <w:pPr>
              <w:pStyle w:val="BodyText"/>
              <w:rPr>
                <w:rFonts w:cs="Arial"/>
                <w:lang w:val="en-GB"/>
              </w:rPr>
            </w:pPr>
            <w:r w:rsidRPr="00080375">
              <w:rPr>
                <w:rFonts w:cs="Arial"/>
                <w:lang w:val="en-GB"/>
              </w:rPr>
              <w:t>Skeleton</w:t>
            </w:r>
          </w:p>
        </w:tc>
      </w:tr>
      <w:tr w:rsidR="00595D9C" w:rsidRPr="00080375" w14:paraId="54536B48" w14:textId="77777777" w:rsidTr="00B42EA7">
        <w:tc>
          <w:tcPr>
            <w:tcW w:w="1222" w:type="dxa"/>
          </w:tcPr>
          <w:p w14:paraId="6942B6E5" w14:textId="77777777" w:rsidR="00595D9C" w:rsidRPr="00080375" w:rsidRDefault="002D01AB" w:rsidP="001224E5">
            <w:pPr>
              <w:pStyle w:val="BodyText"/>
              <w:rPr>
                <w:rFonts w:cs="Arial"/>
                <w:lang w:val="en-GB"/>
              </w:rPr>
            </w:pPr>
            <w:r w:rsidRPr="00080375">
              <w:rPr>
                <w:rFonts w:cs="Arial"/>
                <w:lang w:val="en-GB"/>
              </w:rPr>
              <w:t>0.4</w:t>
            </w:r>
          </w:p>
        </w:tc>
        <w:tc>
          <w:tcPr>
            <w:tcW w:w="1440" w:type="dxa"/>
          </w:tcPr>
          <w:p w14:paraId="3F6F6787" w14:textId="77777777" w:rsidR="00595D9C" w:rsidRPr="00080375" w:rsidRDefault="002D01AB" w:rsidP="001224E5">
            <w:pPr>
              <w:pStyle w:val="BodyText"/>
              <w:rPr>
                <w:rFonts w:cs="Arial"/>
                <w:lang w:val="en-GB"/>
              </w:rPr>
            </w:pPr>
            <w:r w:rsidRPr="00080375">
              <w:rPr>
                <w:rFonts w:cs="Arial"/>
                <w:lang w:val="en-GB"/>
              </w:rPr>
              <w:t>18/10/2016</w:t>
            </w:r>
          </w:p>
        </w:tc>
        <w:tc>
          <w:tcPr>
            <w:tcW w:w="2520" w:type="dxa"/>
          </w:tcPr>
          <w:p w14:paraId="2FE374F2" w14:textId="77777777" w:rsidR="00595D9C" w:rsidRPr="00080375" w:rsidRDefault="002D01AB" w:rsidP="001224E5">
            <w:pPr>
              <w:pStyle w:val="BodyText"/>
              <w:rPr>
                <w:rFonts w:cs="Arial"/>
                <w:lang w:val="en-GB"/>
              </w:rPr>
            </w:pPr>
            <w:r w:rsidRPr="00080375">
              <w:rPr>
                <w:rFonts w:cs="Arial"/>
                <w:lang w:val="en-GB"/>
              </w:rPr>
              <w:t>Rebecca Healey</w:t>
            </w:r>
          </w:p>
        </w:tc>
        <w:tc>
          <w:tcPr>
            <w:tcW w:w="4410" w:type="dxa"/>
          </w:tcPr>
          <w:p w14:paraId="440A25A8" w14:textId="77777777" w:rsidR="00595D9C" w:rsidRPr="00080375" w:rsidRDefault="002D01AB" w:rsidP="001224E5">
            <w:pPr>
              <w:pStyle w:val="BodyText"/>
              <w:rPr>
                <w:rFonts w:cs="Arial"/>
                <w:lang w:val="en-GB"/>
              </w:rPr>
            </w:pPr>
            <w:r w:rsidRPr="00080375">
              <w:rPr>
                <w:rFonts w:cs="Arial"/>
                <w:lang w:val="en-GB"/>
              </w:rPr>
              <w:t>Updates</w:t>
            </w:r>
          </w:p>
        </w:tc>
      </w:tr>
      <w:tr w:rsidR="00656F51" w:rsidRPr="00080375" w14:paraId="501FCA2C" w14:textId="77777777" w:rsidTr="00443ADA">
        <w:tc>
          <w:tcPr>
            <w:tcW w:w="1222" w:type="dxa"/>
          </w:tcPr>
          <w:p w14:paraId="1F478D6A" w14:textId="77777777" w:rsidR="00656F51" w:rsidRPr="00080375" w:rsidRDefault="00656F51" w:rsidP="00443ADA">
            <w:pPr>
              <w:pStyle w:val="BodyText"/>
              <w:rPr>
                <w:rFonts w:cs="Arial"/>
                <w:lang w:val="en-GB"/>
              </w:rPr>
            </w:pPr>
            <w:r w:rsidRPr="00080375">
              <w:rPr>
                <w:rFonts w:cs="Arial"/>
                <w:lang w:val="en-GB"/>
              </w:rPr>
              <w:t>0.5</w:t>
            </w:r>
          </w:p>
        </w:tc>
        <w:tc>
          <w:tcPr>
            <w:tcW w:w="1440" w:type="dxa"/>
          </w:tcPr>
          <w:p w14:paraId="1708D056" w14:textId="77777777" w:rsidR="00656F51" w:rsidRPr="00080375" w:rsidRDefault="00656F51" w:rsidP="00443ADA">
            <w:pPr>
              <w:pStyle w:val="BodyText"/>
              <w:rPr>
                <w:rFonts w:cs="Arial"/>
                <w:lang w:val="en-GB"/>
              </w:rPr>
            </w:pPr>
            <w:r w:rsidRPr="00080375">
              <w:rPr>
                <w:rFonts w:cs="Arial"/>
                <w:lang w:val="en-GB"/>
              </w:rPr>
              <w:t>03/11/2016</w:t>
            </w:r>
          </w:p>
        </w:tc>
        <w:tc>
          <w:tcPr>
            <w:tcW w:w="2520" w:type="dxa"/>
          </w:tcPr>
          <w:p w14:paraId="482D28E4" w14:textId="77777777" w:rsidR="00656F51" w:rsidRPr="00080375" w:rsidRDefault="00656F51" w:rsidP="00443ADA">
            <w:pPr>
              <w:pStyle w:val="BodyText"/>
              <w:rPr>
                <w:rFonts w:cs="Arial"/>
                <w:lang w:val="en-GB"/>
              </w:rPr>
            </w:pPr>
            <w:r w:rsidRPr="00080375">
              <w:rPr>
                <w:rFonts w:cs="Arial"/>
                <w:lang w:val="en-GB"/>
              </w:rPr>
              <w:t>Rebecca Healey</w:t>
            </w:r>
          </w:p>
        </w:tc>
        <w:tc>
          <w:tcPr>
            <w:tcW w:w="4410" w:type="dxa"/>
          </w:tcPr>
          <w:p w14:paraId="07868EC5" w14:textId="77777777" w:rsidR="00656F51" w:rsidRPr="00080375" w:rsidRDefault="00656F51" w:rsidP="00443ADA">
            <w:pPr>
              <w:pStyle w:val="BodyText"/>
              <w:rPr>
                <w:rFonts w:cs="Arial"/>
                <w:lang w:val="en-GB"/>
              </w:rPr>
            </w:pPr>
            <w:r w:rsidRPr="00080375">
              <w:rPr>
                <w:rFonts w:cs="Arial"/>
                <w:lang w:val="en-GB"/>
              </w:rPr>
              <w:t>Updates</w:t>
            </w:r>
          </w:p>
        </w:tc>
      </w:tr>
      <w:tr w:rsidR="00595D9C" w:rsidRPr="00080375" w14:paraId="09609925" w14:textId="77777777" w:rsidTr="00B42EA7">
        <w:tc>
          <w:tcPr>
            <w:tcW w:w="1222" w:type="dxa"/>
          </w:tcPr>
          <w:p w14:paraId="6E9BD312" w14:textId="77777777" w:rsidR="00595D9C" w:rsidRPr="00080375" w:rsidRDefault="00DB1B0E" w:rsidP="001224E5">
            <w:pPr>
              <w:pStyle w:val="BodyText"/>
              <w:rPr>
                <w:rFonts w:cs="Arial"/>
                <w:lang w:val="en-GB"/>
              </w:rPr>
            </w:pPr>
            <w:r w:rsidRPr="00080375">
              <w:rPr>
                <w:rFonts w:cs="Arial"/>
                <w:lang w:val="en-GB"/>
              </w:rPr>
              <w:t>0.</w:t>
            </w:r>
            <w:r w:rsidR="00656F51" w:rsidRPr="00080375">
              <w:rPr>
                <w:rFonts w:cs="Arial"/>
                <w:lang w:val="en-GB"/>
              </w:rPr>
              <w:t>6</w:t>
            </w:r>
          </w:p>
        </w:tc>
        <w:tc>
          <w:tcPr>
            <w:tcW w:w="1440" w:type="dxa"/>
          </w:tcPr>
          <w:p w14:paraId="6AFD589D" w14:textId="77777777" w:rsidR="00595D9C" w:rsidRPr="00080375" w:rsidRDefault="00656F51" w:rsidP="001224E5">
            <w:pPr>
              <w:pStyle w:val="BodyText"/>
              <w:rPr>
                <w:rFonts w:cs="Arial"/>
                <w:lang w:val="en-GB"/>
              </w:rPr>
            </w:pPr>
            <w:r w:rsidRPr="00080375">
              <w:rPr>
                <w:rFonts w:cs="Arial"/>
                <w:lang w:val="en-GB"/>
              </w:rPr>
              <w:t>1</w:t>
            </w:r>
            <w:r w:rsidR="00DB1B0E" w:rsidRPr="00080375">
              <w:rPr>
                <w:rFonts w:cs="Arial"/>
                <w:lang w:val="en-GB"/>
              </w:rPr>
              <w:t>3/11/2016</w:t>
            </w:r>
          </w:p>
        </w:tc>
        <w:tc>
          <w:tcPr>
            <w:tcW w:w="2520" w:type="dxa"/>
          </w:tcPr>
          <w:p w14:paraId="143D81A3" w14:textId="77777777" w:rsidR="00595D9C" w:rsidRPr="00080375" w:rsidRDefault="00DB1B0E" w:rsidP="001224E5">
            <w:pPr>
              <w:pStyle w:val="BodyText"/>
              <w:rPr>
                <w:rFonts w:cs="Arial"/>
                <w:lang w:val="en-GB"/>
              </w:rPr>
            </w:pPr>
            <w:r w:rsidRPr="00080375">
              <w:rPr>
                <w:rFonts w:cs="Arial"/>
                <w:lang w:val="en-GB"/>
              </w:rPr>
              <w:t>Rebecca Healey</w:t>
            </w:r>
          </w:p>
        </w:tc>
        <w:tc>
          <w:tcPr>
            <w:tcW w:w="4410" w:type="dxa"/>
          </w:tcPr>
          <w:p w14:paraId="16A314C5" w14:textId="77777777" w:rsidR="00595D9C" w:rsidRPr="00080375" w:rsidRDefault="00DB1B0E" w:rsidP="001224E5">
            <w:pPr>
              <w:pStyle w:val="BodyText"/>
              <w:rPr>
                <w:rFonts w:cs="Arial"/>
                <w:lang w:val="en-GB"/>
              </w:rPr>
            </w:pPr>
            <w:r w:rsidRPr="00080375">
              <w:rPr>
                <w:rFonts w:cs="Arial"/>
                <w:lang w:val="en-GB"/>
              </w:rPr>
              <w:t>Updates</w:t>
            </w:r>
          </w:p>
        </w:tc>
      </w:tr>
      <w:tr w:rsidR="00595D9C" w:rsidRPr="00080375" w14:paraId="3DCCADFA" w14:textId="77777777" w:rsidTr="00B42EA7">
        <w:tc>
          <w:tcPr>
            <w:tcW w:w="1222" w:type="dxa"/>
          </w:tcPr>
          <w:p w14:paraId="59DFD02B" w14:textId="77777777" w:rsidR="00595D9C" w:rsidRPr="00080375" w:rsidRDefault="009A6C96" w:rsidP="001224E5">
            <w:pPr>
              <w:pStyle w:val="BodyText"/>
              <w:rPr>
                <w:rFonts w:cs="Arial"/>
                <w:lang w:val="en-GB"/>
              </w:rPr>
            </w:pPr>
            <w:r w:rsidRPr="00080375">
              <w:rPr>
                <w:rFonts w:cs="Arial"/>
                <w:lang w:val="en-GB"/>
              </w:rPr>
              <w:t>0.7</w:t>
            </w:r>
          </w:p>
        </w:tc>
        <w:tc>
          <w:tcPr>
            <w:tcW w:w="1440" w:type="dxa"/>
          </w:tcPr>
          <w:p w14:paraId="7A41F682" w14:textId="77777777" w:rsidR="00595D9C" w:rsidRPr="00080375" w:rsidRDefault="009A6C96" w:rsidP="001224E5">
            <w:pPr>
              <w:pStyle w:val="BodyText"/>
              <w:rPr>
                <w:rFonts w:cs="Arial"/>
                <w:lang w:val="en-GB"/>
              </w:rPr>
            </w:pPr>
            <w:r w:rsidRPr="00080375">
              <w:rPr>
                <w:rFonts w:cs="Arial"/>
                <w:lang w:val="en-GB"/>
              </w:rPr>
              <w:t>16/11/2016</w:t>
            </w:r>
          </w:p>
        </w:tc>
        <w:tc>
          <w:tcPr>
            <w:tcW w:w="2520" w:type="dxa"/>
          </w:tcPr>
          <w:p w14:paraId="4F9AC0DA" w14:textId="77777777" w:rsidR="00595D9C" w:rsidRPr="00080375" w:rsidRDefault="009A6C96" w:rsidP="001224E5">
            <w:pPr>
              <w:pStyle w:val="BodyText"/>
              <w:rPr>
                <w:rFonts w:cs="Arial"/>
                <w:lang w:val="en-GB"/>
              </w:rPr>
            </w:pPr>
            <w:r w:rsidRPr="00080375">
              <w:rPr>
                <w:rFonts w:cs="Arial"/>
                <w:lang w:val="en-GB"/>
              </w:rPr>
              <w:t>Rebecca Healey</w:t>
            </w:r>
          </w:p>
        </w:tc>
        <w:tc>
          <w:tcPr>
            <w:tcW w:w="4410" w:type="dxa"/>
          </w:tcPr>
          <w:p w14:paraId="7EE54D20" w14:textId="77777777" w:rsidR="00595D9C" w:rsidRPr="00080375" w:rsidRDefault="009A6C96" w:rsidP="001224E5">
            <w:pPr>
              <w:pStyle w:val="BodyText"/>
              <w:rPr>
                <w:rFonts w:cs="Arial"/>
                <w:lang w:val="en-GB"/>
              </w:rPr>
            </w:pPr>
            <w:r w:rsidRPr="00080375">
              <w:rPr>
                <w:rFonts w:cs="Arial"/>
                <w:lang w:val="en-GB"/>
              </w:rPr>
              <w:t>Updates</w:t>
            </w:r>
          </w:p>
        </w:tc>
      </w:tr>
      <w:tr w:rsidR="00595D9C" w:rsidRPr="00080375" w14:paraId="388AA953" w14:textId="77777777" w:rsidTr="00B42EA7">
        <w:tc>
          <w:tcPr>
            <w:tcW w:w="1222" w:type="dxa"/>
          </w:tcPr>
          <w:p w14:paraId="703B1247" w14:textId="77777777" w:rsidR="00595D9C" w:rsidRPr="00080375" w:rsidRDefault="00EE2CCB" w:rsidP="001224E5">
            <w:pPr>
              <w:pStyle w:val="BodyText"/>
              <w:rPr>
                <w:rFonts w:cs="Arial"/>
                <w:lang w:val="en-GB"/>
              </w:rPr>
            </w:pPr>
            <w:r w:rsidRPr="00080375">
              <w:rPr>
                <w:rFonts w:cs="Arial"/>
                <w:lang w:val="en-GB"/>
              </w:rPr>
              <w:t>0.8</w:t>
            </w:r>
          </w:p>
        </w:tc>
        <w:tc>
          <w:tcPr>
            <w:tcW w:w="1440" w:type="dxa"/>
          </w:tcPr>
          <w:p w14:paraId="2539326B" w14:textId="77777777" w:rsidR="00595D9C" w:rsidRPr="00080375" w:rsidRDefault="00EE2CCB" w:rsidP="001224E5">
            <w:pPr>
              <w:pStyle w:val="BodyText"/>
              <w:rPr>
                <w:rFonts w:cs="Arial"/>
                <w:lang w:val="en-GB"/>
              </w:rPr>
            </w:pPr>
            <w:r w:rsidRPr="00080375">
              <w:rPr>
                <w:rFonts w:cs="Arial"/>
                <w:lang w:val="en-GB"/>
              </w:rPr>
              <w:t>21/11/2016</w:t>
            </w:r>
          </w:p>
        </w:tc>
        <w:tc>
          <w:tcPr>
            <w:tcW w:w="2520" w:type="dxa"/>
          </w:tcPr>
          <w:p w14:paraId="1E4FF9D5" w14:textId="77777777" w:rsidR="00595D9C" w:rsidRPr="00080375" w:rsidRDefault="00EE2CCB" w:rsidP="001224E5">
            <w:pPr>
              <w:pStyle w:val="BodyText"/>
              <w:rPr>
                <w:rFonts w:cs="Arial"/>
                <w:lang w:val="en-GB"/>
              </w:rPr>
            </w:pPr>
            <w:r w:rsidRPr="00080375">
              <w:rPr>
                <w:rFonts w:cs="Arial"/>
                <w:lang w:val="en-GB"/>
              </w:rPr>
              <w:t>Rebecca Healey</w:t>
            </w:r>
          </w:p>
        </w:tc>
        <w:tc>
          <w:tcPr>
            <w:tcW w:w="4410" w:type="dxa"/>
          </w:tcPr>
          <w:p w14:paraId="7D301460" w14:textId="77777777" w:rsidR="00595D9C" w:rsidRPr="00080375" w:rsidRDefault="00EE2CCB" w:rsidP="001224E5">
            <w:pPr>
              <w:pStyle w:val="BodyText"/>
              <w:rPr>
                <w:rFonts w:cs="Arial"/>
                <w:lang w:val="en-GB"/>
              </w:rPr>
            </w:pPr>
            <w:r w:rsidRPr="00080375">
              <w:rPr>
                <w:rFonts w:cs="Arial"/>
                <w:lang w:val="en-GB"/>
              </w:rPr>
              <w:t>Updates</w:t>
            </w:r>
          </w:p>
        </w:tc>
      </w:tr>
      <w:tr w:rsidR="00595D9C" w:rsidRPr="00080375" w14:paraId="2EA00115" w14:textId="77777777" w:rsidTr="00B42EA7">
        <w:tc>
          <w:tcPr>
            <w:tcW w:w="1222" w:type="dxa"/>
          </w:tcPr>
          <w:p w14:paraId="3A8EB822" w14:textId="77777777" w:rsidR="00595D9C" w:rsidRPr="00080375" w:rsidRDefault="00B77CA6" w:rsidP="001224E5">
            <w:pPr>
              <w:pStyle w:val="BodyText"/>
              <w:rPr>
                <w:rFonts w:cs="Arial"/>
                <w:lang w:val="en-GB"/>
              </w:rPr>
            </w:pPr>
            <w:r w:rsidRPr="00080375">
              <w:rPr>
                <w:rFonts w:cs="Arial"/>
                <w:lang w:val="en-GB"/>
              </w:rPr>
              <w:t>0.9</w:t>
            </w:r>
          </w:p>
        </w:tc>
        <w:tc>
          <w:tcPr>
            <w:tcW w:w="1440" w:type="dxa"/>
          </w:tcPr>
          <w:p w14:paraId="103AC82C" w14:textId="77777777" w:rsidR="00595D9C" w:rsidRPr="00080375" w:rsidRDefault="00B77CA6" w:rsidP="001224E5">
            <w:pPr>
              <w:pStyle w:val="BodyText"/>
              <w:rPr>
                <w:rFonts w:cs="Arial"/>
                <w:lang w:val="en-GB"/>
              </w:rPr>
            </w:pPr>
            <w:r w:rsidRPr="00080375">
              <w:rPr>
                <w:rFonts w:cs="Arial"/>
                <w:lang w:val="en-GB"/>
              </w:rPr>
              <w:t>02/12/2016</w:t>
            </w:r>
          </w:p>
        </w:tc>
        <w:tc>
          <w:tcPr>
            <w:tcW w:w="2520" w:type="dxa"/>
          </w:tcPr>
          <w:p w14:paraId="3A1DEEF7" w14:textId="77777777" w:rsidR="00595D9C" w:rsidRPr="00080375" w:rsidRDefault="00B77CA6" w:rsidP="001224E5">
            <w:pPr>
              <w:pStyle w:val="BodyText"/>
              <w:rPr>
                <w:rFonts w:cs="Arial"/>
                <w:lang w:val="en-GB"/>
              </w:rPr>
            </w:pPr>
            <w:r w:rsidRPr="00080375">
              <w:rPr>
                <w:rFonts w:cs="Arial"/>
                <w:lang w:val="en-GB"/>
              </w:rPr>
              <w:t>Rebecca Healey</w:t>
            </w:r>
          </w:p>
        </w:tc>
        <w:tc>
          <w:tcPr>
            <w:tcW w:w="4410" w:type="dxa"/>
          </w:tcPr>
          <w:p w14:paraId="29654F4D" w14:textId="77777777" w:rsidR="00595D9C" w:rsidRPr="00080375" w:rsidRDefault="00B77CA6" w:rsidP="001224E5">
            <w:pPr>
              <w:pStyle w:val="BodyText"/>
              <w:rPr>
                <w:rFonts w:cs="Arial"/>
                <w:lang w:val="en-GB"/>
              </w:rPr>
            </w:pPr>
            <w:r w:rsidRPr="00080375">
              <w:rPr>
                <w:rFonts w:cs="Arial"/>
                <w:lang w:val="en-GB"/>
              </w:rPr>
              <w:t>Updates after FIX WG Meeting 02/12/2016</w:t>
            </w:r>
          </w:p>
        </w:tc>
      </w:tr>
      <w:tr w:rsidR="00DD44E0" w:rsidRPr="00080375" w14:paraId="65DA08B3" w14:textId="77777777" w:rsidTr="00B42EA7">
        <w:tc>
          <w:tcPr>
            <w:tcW w:w="1222" w:type="dxa"/>
          </w:tcPr>
          <w:p w14:paraId="4B5660BD" w14:textId="77777777" w:rsidR="00DD44E0" w:rsidRPr="00080375" w:rsidRDefault="008C2396" w:rsidP="001224E5">
            <w:pPr>
              <w:pStyle w:val="BodyText"/>
              <w:rPr>
                <w:rFonts w:cs="Arial"/>
                <w:lang w:val="en-GB"/>
              </w:rPr>
            </w:pPr>
            <w:r w:rsidRPr="00080375">
              <w:rPr>
                <w:rFonts w:cs="Arial"/>
                <w:lang w:val="en-GB"/>
              </w:rPr>
              <w:t>0.10</w:t>
            </w:r>
          </w:p>
        </w:tc>
        <w:tc>
          <w:tcPr>
            <w:tcW w:w="1440" w:type="dxa"/>
          </w:tcPr>
          <w:p w14:paraId="4BCA11E5" w14:textId="77777777" w:rsidR="00DD44E0" w:rsidRPr="00080375" w:rsidRDefault="008C2396" w:rsidP="001224E5">
            <w:pPr>
              <w:pStyle w:val="BodyText"/>
              <w:rPr>
                <w:rFonts w:cs="Arial"/>
                <w:lang w:val="en-GB"/>
              </w:rPr>
            </w:pPr>
            <w:r w:rsidRPr="00080375">
              <w:rPr>
                <w:rFonts w:cs="Arial"/>
                <w:lang w:val="en-GB"/>
              </w:rPr>
              <w:t>15/12/2016</w:t>
            </w:r>
          </w:p>
        </w:tc>
        <w:tc>
          <w:tcPr>
            <w:tcW w:w="2520" w:type="dxa"/>
          </w:tcPr>
          <w:p w14:paraId="221D52DD" w14:textId="77777777" w:rsidR="00DD44E0" w:rsidRPr="00080375" w:rsidRDefault="008C2396" w:rsidP="001224E5">
            <w:pPr>
              <w:pStyle w:val="BodyText"/>
              <w:rPr>
                <w:rFonts w:cs="Arial"/>
                <w:lang w:val="en-GB"/>
              </w:rPr>
            </w:pPr>
            <w:r w:rsidRPr="00080375">
              <w:rPr>
                <w:rFonts w:cs="Arial"/>
                <w:lang w:val="en-GB"/>
              </w:rPr>
              <w:t>Tim Healy</w:t>
            </w:r>
          </w:p>
        </w:tc>
        <w:tc>
          <w:tcPr>
            <w:tcW w:w="4410" w:type="dxa"/>
          </w:tcPr>
          <w:p w14:paraId="5A00A580" w14:textId="77777777" w:rsidR="00DD44E0" w:rsidRPr="00080375" w:rsidRDefault="008C2396" w:rsidP="001224E5">
            <w:pPr>
              <w:pStyle w:val="BodyText"/>
              <w:rPr>
                <w:rFonts w:cs="Arial"/>
                <w:lang w:val="en-GB"/>
              </w:rPr>
            </w:pPr>
            <w:r w:rsidRPr="00080375">
              <w:rPr>
                <w:rFonts w:cs="Arial"/>
                <w:lang w:val="en-GB"/>
              </w:rPr>
              <w:t>Updated to incl various submissions</w:t>
            </w:r>
          </w:p>
        </w:tc>
      </w:tr>
      <w:tr w:rsidR="00DD44E0" w:rsidRPr="00080375" w14:paraId="21D61627" w14:textId="77777777" w:rsidTr="00B42EA7">
        <w:tc>
          <w:tcPr>
            <w:tcW w:w="1222" w:type="dxa"/>
          </w:tcPr>
          <w:p w14:paraId="788C95C3" w14:textId="77777777" w:rsidR="00DD44E0" w:rsidRPr="00080375" w:rsidRDefault="00CA4E13" w:rsidP="001224E5">
            <w:pPr>
              <w:pStyle w:val="BodyText"/>
              <w:rPr>
                <w:rFonts w:cs="Arial"/>
                <w:lang w:val="en-GB"/>
              </w:rPr>
            </w:pPr>
            <w:r w:rsidRPr="00080375">
              <w:rPr>
                <w:rFonts w:cs="Arial"/>
                <w:lang w:val="en-GB"/>
              </w:rPr>
              <w:t>0.11</w:t>
            </w:r>
          </w:p>
        </w:tc>
        <w:tc>
          <w:tcPr>
            <w:tcW w:w="1440" w:type="dxa"/>
          </w:tcPr>
          <w:p w14:paraId="445A58C5" w14:textId="77777777" w:rsidR="00DD44E0" w:rsidRPr="00080375" w:rsidRDefault="00CA4E13" w:rsidP="001224E5">
            <w:pPr>
              <w:pStyle w:val="BodyText"/>
              <w:rPr>
                <w:rFonts w:cs="Arial"/>
                <w:lang w:val="en-GB"/>
              </w:rPr>
            </w:pPr>
            <w:r w:rsidRPr="00080375">
              <w:rPr>
                <w:rFonts w:cs="Arial"/>
                <w:lang w:val="en-GB"/>
              </w:rPr>
              <w:t>15/12/2016</w:t>
            </w:r>
          </w:p>
        </w:tc>
        <w:tc>
          <w:tcPr>
            <w:tcW w:w="2520" w:type="dxa"/>
          </w:tcPr>
          <w:p w14:paraId="590C4C04" w14:textId="77777777" w:rsidR="00DD44E0" w:rsidRPr="00080375" w:rsidRDefault="00CA4E13" w:rsidP="001224E5">
            <w:pPr>
              <w:pStyle w:val="BodyText"/>
              <w:rPr>
                <w:rFonts w:cs="Arial"/>
                <w:lang w:val="en-GB"/>
              </w:rPr>
            </w:pPr>
            <w:r w:rsidRPr="00080375">
              <w:rPr>
                <w:rFonts w:cs="Arial"/>
                <w:lang w:val="en-GB"/>
              </w:rPr>
              <w:t>Rebecca Healey</w:t>
            </w:r>
          </w:p>
        </w:tc>
        <w:tc>
          <w:tcPr>
            <w:tcW w:w="4410" w:type="dxa"/>
          </w:tcPr>
          <w:p w14:paraId="47CD161C" w14:textId="77777777" w:rsidR="00DD44E0" w:rsidRPr="00080375" w:rsidRDefault="00CA4E13" w:rsidP="001224E5">
            <w:pPr>
              <w:pStyle w:val="BodyText"/>
              <w:rPr>
                <w:rFonts w:cs="Arial"/>
                <w:lang w:val="en-GB"/>
              </w:rPr>
            </w:pPr>
            <w:r w:rsidRPr="00080375">
              <w:rPr>
                <w:rFonts w:cs="Arial"/>
                <w:lang w:val="en-GB"/>
              </w:rPr>
              <w:t xml:space="preserve">Update to include Matthew Luff </w:t>
            </w:r>
            <w:r w:rsidR="00014CA9" w:rsidRPr="00080375">
              <w:rPr>
                <w:rFonts w:cs="Arial"/>
                <w:lang w:val="en-GB"/>
              </w:rPr>
              <w:t xml:space="preserve">and Matthew Briddon </w:t>
            </w:r>
            <w:r w:rsidRPr="00080375">
              <w:rPr>
                <w:rFonts w:cs="Arial"/>
                <w:lang w:val="en-GB"/>
              </w:rPr>
              <w:t>RTS 28 Amendments</w:t>
            </w:r>
          </w:p>
        </w:tc>
      </w:tr>
      <w:tr w:rsidR="00DD44E0" w:rsidRPr="00080375" w14:paraId="419DC4A0" w14:textId="77777777" w:rsidTr="00B42EA7">
        <w:tc>
          <w:tcPr>
            <w:tcW w:w="1222" w:type="dxa"/>
          </w:tcPr>
          <w:p w14:paraId="2D1C91D0" w14:textId="77777777" w:rsidR="00DD44E0" w:rsidRPr="00080375" w:rsidRDefault="00454552" w:rsidP="001224E5">
            <w:pPr>
              <w:pStyle w:val="BodyText"/>
              <w:rPr>
                <w:rFonts w:cs="Arial"/>
                <w:lang w:val="en-GB"/>
              </w:rPr>
            </w:pPr>
            <w:r w:rsidRPr="00080375">
              <w:rPr>
                <w:rFonts w:cs="Arial"/>
                <w:lang w:val="en-GB"/>
              </w:rPr>
              <w:t>0.12</w:t>
            </w:r>
          </w:p>
        </w:tc>
        <w:tc>
          <w:tcPr>
            <w:tcW w:w="1440" w:type="dxa"/>
          </w:tcPr>
          <w:p w14:paraId="3C12A284" w14:textId="77777777" w:rsidR="00DD44E0" w:rsidRPr="00080375" w:rsidRDefault="00454552" w:rsidP="001224E5">
            <w:pPr>
              <w:pStyle w:val="BodyText"/>
              <w:rPr>
                <w:rFonts w:cs="Arial"/>
                <w:lang w:val="en-GB"/>
              </w:rPr>
            </w:pPr>
            <w:r w:rsidRPr="00080375">
              <w:rPr>
                <w:rFonts w:cs="Arial"/>
                <w:lang w:val="en-GB"/>
              </w:rPr>
              <w:t>11/01/2017</w:t>
            </w:r>
          </w:p>
        </w:tc>
        <w:tc>
          <w:tcPr>
            <w:tcW w:w="2520" w:type="dxa"/>
          </w:tcPr>
          <w:p w14:paraId="31F18682" w14:textId="77777777" w:rsidR="00DD44E0" w:rsidRPr="00080375" w:rsidRDefault="00454552" w:rsidP="001224E5">
            <w:pPr>
              <w:pStyle w:val="BodyText"/>
              <w:rPr>
                <w:rFonts w:cs="Arial"/>
                <w:lang w:val="en-GB"/>
              </w:rPr>
            </w:pPr>
            <w:r w:rsidRPr="00080375">
              <w:rPr>
                <w:rFonts w:cs="Arial"/>
                <w:lang w:val="en-GB"/>
              </w:rPr>
              <w:t>Rebecca Healey</w:t>
            </w:r>
          </w:p>
        </w:tc>
        <w:tc>
          <w:tcPr>
            <w:tcW w:w="4410" w:type="dxa"/>
          </w:tcPr>
          <w:p w14:paraId="19C1F9ED" w14:textId="77777777" w:rsidR="00DD44E0" w:rsidRPr="00080375" w:rsidRDefault="00454552" w:rsidP="001224E5">
            <w:pPr>
              <w:pStyle w:val="BodyText"/>
              <w:rPr>
                <w:rFonts w:cs="Arial"/>
                <w:lang w:val="en-GB"/>
              </w:rPr>
            </w:pPr>
            <w:r w:rsidRPr="00080375">
              <w:rPr>
                <w:rFonts w:cs="Arial"/>
                <w:lang w:val="en-GB"/>
              </w:rPr>
              <w:t>Updates from meeting 15/12/2016, plus input from Anne Plested, Josh Barton</w:t>
            </w:r>
          </w:p>
        </w:tc>
      </w:tr>
      <w:tr w:rsidR="00DD44E0" w:rsidRPr="00080375" w14:paraId="4E349210" w14:textId="77777777" w:rsidTr="00B42EA7">
        <w:tc>
          <w:tcPr>
            <w:tcW w:w="1222" w:type="dxa"/>
          </w:tcPr>
          <w:p w14:paraId="5C8D0B8F" w14:textId="77777777" w:rsidR="00DD44E0" w:rsidRPr="00080375" w:rsidRDefault="00CA4356" w:rsidP="001224E5">
            <w:pPr>
              <w:pStyle w:val="BodyText"/>
              <w:rPr>
                <w:rFonts w:cs="Arial"/>
                <w:lang w:val="en-GB"/>
              </w:rPr>
            </w:pPr>
            <w:r w:rsidRPr="00080375">
              <w:rPr>
                <w:rFonts w:cs="Arial"/>
                <w:lang w:val="en-GB"/>
              </w:rPr>
              <w:t>0.13</w:t>
            </w:r>
          </w:p>
        </w:tc>
        <w:tc>
          <w:tcPr>
            <w:tcW w:w="1440" w:type="dxa"/>
          </w:tcPr>
          <w:p w14:paraId="2A015A32" w14:textId="77777777" w:rsidR="00DD44E0" w:rsidRPr="00080375" w:rsidRDefault="00CA4356" w:rsidP="001224E5">
            <w:pPr>
              <w:pStyle w:val="BodyText"/>
              <w:rPr>
                <w:rFonts w:cs="Arial"/>
                <w:lang w:val="en-GB"/>
              </w:rPr>
            </w:pPr>
            <w:r w:rsidRPr="00080375">
              <w:rPr>
                <w:rFonts w:cs="Arial"/>
                <w:lang w:val="en-GB"/>
              </w:rPr>
              <w:t>18/01/2017</w:t>
            </w:r>
          </w:p>
        </w:tc>
        <w:tc>
          <w:tcPr>
            <w:tcW w:w="2520" w:type="dxa"/>
          </w:tcPr>
          <w:p w14:paraId="10EE0390" w14:textId="77777777" w:rsidR="00DD44E0" w:rsidRPr="00080375" w:rsidRDefault="00CA4356" w:rsidP="001224E5">
            <w:pPr>
              <w:pStyle w:val="BodyText"/>
              <w:rPr>
                <w:rFonts w:cs="Arial"/>
                <w:lang w:val="en-GB"/>
              </w:rPr>
            </w:pPr>
            <w:r w:rsidRPr="00080375">
              <w:rPr>
                <w:rFonts w:cs="Arial"/>
                <w:lang w:val="en-GB"/>
              </w:rPr>
              <w:t>Rebecca Healey &amp; Alex Wolcough</w:t>
            </w:r>
          </w:p>
        </w:tc>
        <w:tc>
          <w:tcPr>
            <w:tcW w:w="4410" w:type="dxa"/>
          </w:tcPr>
          <w:p w14:paraId="160B6529" w14:textId="77777777" w:rsidR="00DD44E0" w:rsidRPr="00080375" w:rsidRDefault="00CA4356" w:rsidP="001224E5">
            <w:pPr>
              <w:pStyle w:val="BodyText"/>
              <w:rPr>
                <w:rFonts w:cs="Arial"/>
                <w:lang w:val="en-GB"/>
              </w:rPr>
            </w:pPr>
            <w:r w:rsidRPr="00080375">
              <w:rPr>
                <w:rFonts w:cs="Arial"/>
                <w:lang w:val="en-GB"/>
              </w:rPr>
              <w:t xml:space="preserve">Amendments from Working Group Feedback </w:t>
            </w:r>
          </w:p>
        </w:tc>
      </w:tr>
      <w:tr w:rsidR="00C07DFB" w:rsidRPr="00080375" w14:paraId="24C9371A" w14:textId="77777777" w:rsidTr="00663096">
        <w:tc>
          <w:tcPr>
            <w:tcW w:w="1222" w:type="dxa"/>
          </w:tcPr>
          <w:p w14:paraId="51D4442E" w14:textId="77777777" w:rsidR="00C07DFB" w:rsidRPr="00080375" w:rsidRDefault="00C07DFB">
            <w:pPr>
              <w:pStyle w:val="BodyText"/>
              <w:rPr>
                <w:rFonts w:cs="Arial"/>
                <w:lang w:val="en-GB"/>
              </w:rPr>
            </w:pPr>
            <w:r w:rsidRPr="00080375">
              <w:rPr>
                <w:rFonts w:cs="Arial"/>
                <w:lang w:val="en-GB"/>
              </w:rPr>
              <w:t>0.1</w:t>
            </w:r>
            <w:r>
              <w:rPr>
                <w:rFonts w:cs="Arial"/>
                <w:lang w:val="en-GB"/>
              </w:rPr>
              <w:t>4</w:t>
            </w:r>
          </w:p>
        </w:tc>
        <w:tc>
          <w:tcPr>
            <w:tcW w:w="1440" w:type="dxa"/>
          </w:tcPr>
          <w:p w14:paraId="574886C8" w14:textId="77777777" w:rsidR="00C07DFB" w:rsidRPr="00080375" w:rsidRDefault="00C07DFB">
            <w:pPr>
              <w:pStyle w:val="BodyText"/>
              <w:rPr>
                <w:rFonts w:cs="Arial"/>
                <w:lang w:val="en-GB"/>
              </w:rPr>
            </w:pPr>
            <w:r w:rsidRPr="00080375">
              <w:rPr>
                <w:rFonts w:cs="Arial"/>
                <w:lang w:val="en-GB"/>
              </w:rPr>
              <w:t>1</w:t>
            </w:r>
            <w:r>
              <w:rPr>
                <w:rFonts w:cs="Arial"/>
                <w:lang w:val="en-GB"/>
              </w:rPr>
              <w:t>9</w:t>
            </w:r>
            <w:r w:rsidRPr="00080375">
              <w:rPr>
                <w:rFonts w:cs="Arial"/>
                <w:lang w:val="en-GB"/>
              </w:rPr>
              <w:t>/01/2017</w:t>
            </w:r>
          </w:p>
        </w:tc>
        <w:tc>
          <w:tcPr>
            <w:tcW w:w="2520" w:type="dxa"/>
          </w:tcPr>
          <w:p w14:paraId="146779FB" w14:textId="77777777" w:rsidR="00C07DFB" w:rsidRPr="00080375" w:rsidRDefault="00C07DFB" w:rsidP="00663096">
            <w:pPr>
              <w:pStyle w:val="BodyText"/>
              <w:rPr>
                <w:rFonts w:cs="Arial"/>
                <w:lang w:val="en-GB"/>
              </w:rPr>
            </w:pPr>
            <w:r w:rsidRPr="00080375">
              <w:rPr>
                <w:rFonts w:cs="Arial"/>
                <w:lang w:val="en-GB"/>
              </w:rPr>
              <w:t>Rebecca Healey &amp; Alex Wolcough</w:t>
            </w:r>
          </w:p>
        </w:tc>
        <w:tc>
          <w:tcPr>
            <w:tcW w:w="4410" w:type="dxa"/>
          </w:tcPr>
          <w:p w14:paraId="60BF450F" w14:textId="77777777" w:rsidR="00C07DFB" w:rsidRPr="00080375" w:rsidRDefault="00C07DFB" w:rsidP="00663096">
            <w:pPr>
              <w:pStyle w:val="BodyText"/>
              <w:rPr>
                <w:rFonts w:cs="Arial"/>
                <w:lang w:val="en-GB"/>
              </w:rPr>
            </w:pPr>
            <w:r w:rsidRPr="00080375">
              <w:rPr>
                <w:rFonts w:cs="Arial"/>
                <w:lang w:val="en-GB"/>
              </w:rPr>
              <w:t xml:space="preserve">Amendments from Working Group Feedback </w:t>
            </w:r>
          </w:p>
        </w:tc>
      </w:tr>
      <w:tr w:rsidR="00C07DFB" w:rsidRPr="00080375" w14:paraId="0B412484" w14:textId="77777777" w:rsidTr="00663096">
        <w:tc>
          <w:tcPr>
            <w:tcW w:w="1222" w:type="dxa"/>
          </w:tcPr>
          <w:p w14:paraId="5653B470" w14:textId="77777777" w:rsidR="00C07DFB" w:rsidRPr="00080375" w:rsidRDefault="00C07DFB">
            <w:pPr>
              <w:pStyle w:val="BodyText"/>
              <w:rPr>
                <w:rFonts w:cs="Arial"/>
                <w:lang w:val="en-GB"/>
              </w:rPr>
            </w:pPr>
            <w:r w:rsidRPr="00080375">
              <w:rPr>
                <w:rFonts w:cs="Arial"/>
                <w:lang w:val="en-GB"/>
              </w:rPr>
              <w:t>0.1</w:t>
            </w:r>
            <w:r>
              <w:rPr>
                <w:rFonts w:cs="Arial"/>
                <w:lang w:val="en-GB"/>
              </w:rPr>
              <w:t>5</w:t>
            </w:r>
          </w:p>
        </w:tc>
        <w:tc>
          <w:tcPr>
            <w:tcW w:w="1440" w:type="dxa"/>
          </w:tcPr>
          <w:p w14:paraId="643E1E47" w14:textId="77777777" w:rsidR="00C07DFB" w:rsidRPr="00080375" w:rsidRDefault="00C07DFB" w:rsidP="00663096">
            <w:pPr>
              <w:pStyle w:val="BodyText"/>
              <w:rPr>
                <w:rFonts w:cs="Arial"/>
                <w:lang w:val="en-GB"/>
              </w:rPr>
            </w:pPr>
            <w:r>
              <w:rPr>
                <w:rFonts w:cs="Arial"/>
                <w:lang w:val="en-GB"/>
              </w:rPr>
              <w:t>27</w:t>
            </w:r>
            <w:r w:rsidRPr="00080375">
              <w:rPr>
                <w:rFonts w:cs="Arial"/>
                <w:lang w:val="en-GB"/>
              </w:rPr>
              <w:t>/01/2017</w:t>
            </w:r>
          </w:p>
        </w:tc>
        <w:tc>
          <w:tcPr>
            <w:tcW w:w="2520" w:type="dxa"/>
          </w:tcPr>
          <w:p w14:paraId="3E1C71B8" w14:textId="77777777" w:rsidR="00C07DFB" w:rsidRPr="00080375" w:rsidRDefault="00C07DFB">
            <w:pPr>
              <w:pStyle w:val="BodyText"/>
              <w:rPr>
                <w:rFonts w:cs="Arial"/>
                <w:lang w:val="en-GB"/>
              </w:rPr>
            </w:pPr>
            <w:r w:rsidRPr="00080375">
              <w:rPr>
                <w:rFonts w:cs="Arial"/>
                <w:lang w:val="en-GB"/>
              </w:rPr>
              <w:t xml:space="preserve">Rebecca Healey </w:t>
            </w:r>
          </w:p>
        </w:tc>
        <w:tc>
          <w:tcPr>
            <w:tcW w:w="4410" w:type="dxa"/>
          </w:tcPr>
          <w:p w14:paraId="64437735" w14:textId="77777777" w:rsidR="00C07DFB" w:rsidRPr="00080375" w:rsidRDefault="00C07DFB">
            <w:pPr>
              <w:pStyle w:val="BodyText"/>
              <w:rPr>
                <w:rFonts w:cs="Arial"/>
                <w:lang w:val="en-GB"/>
              </w:rPr>
            </w:pPr>
            <w:r w:rsidRPr="00080375">
              <w:rPr>
                <w:rFonts w:cs="Arial"/>
                <w:lang w:val="en-GB"/>
              </w:rPr>
              <w:t xml:space="preserve">Amendments from </w:t>
            </w:r>
            <w:r>
              <w:rPr>
                <w:rFonts w:cs="Arial"/>
                <w:lang w:val="en-GB"/>
              </w:rPr>
              <w:t>after meeting with IA and sub WG meeting 27/01/17</w:t>
            </w:r>
            <w:r w:rsidRPr="00080375">
              <w:rPr>
                <w:rFonts w:cs="Arial"/>
                <w:lang w:val="en-GB"/>
              </w:rPr>
              <w:t xml:space="preserve"> </w:t>
            </w:r>
          </w:p>
        </w:tc>
      </w:tr>
      <w:tr w:rsidR="00B7188B" w:rsidRPr="00080375" w14:paraId="1786553E" w14:textId="77777777" w:rsidTr="007A6EDE">
        <w:tc>
          <w:tcPr>
            <w:tcW w:w="1222" w:type="dxa"/>
          </w:tcPr>
          <w:p w14:paraId="5D22A3E2" w14:textId="77777777" w:rsidR="00B7188B" w:rsidRPr="00080375" w:rsidRDefault="00B7188B" w:rsidP="007A6EDE">
            <w:pPr>
              <w:pStyle w:val="BodyText"/>
              <w:rPr>
                <w:rFonts w:cs="Arial"/>
                <w:lang w:val="en-GB"/>
              </w:rPr>
            </w:pPr>
            <w:r w:rsidRPr="00080375">
              <w:rPr>
                <w:rFonts w:cs="Arial"/>
                <w:lang w:val="en-GB"/>
              </w:rPr>
              <w:t>0.1</w:t>
            </w:r>
            <w:r>
              <w:rPr>
                <w:rFonts w:cs="Arial"/>
                <w:lang w:val="en-GB"/>
              </w:rPr>
              <w:t>6</w:t>
            </w:r>
          </w:p>
        </w:tc>
        <w:tc>
          <w:tcPr>
            <w:tcW w:w="1440" w:type="dxa"/>
          </w:tcPr>
          <w:p w14:paraId="14F5FD54" w14:textId="77777777" w:rsidR="00B7188B" w:rsidRPr="00080375" w:rsidRDefault="00B7188B" w:rsidP="007A6EDE">
            <w:pPr>
              <w:pStyle w:val="BodyText"/>
              <w:rPr>
                <w:rFonts w:cs="Arial"/>
                <w:lang w:val="en-GB"/>
              </w:rPr>
            </w:pPr>
            <w:r>
              <w:rPr>
                <w:rFonts w:cs="Arial"/>
                <w:lang w:val="en-GB"/>
              </w:rPr>
              <w:t>30</w:t>
            </w:r>
            <w:r w:rsidRPr="00080375">
              <w:rPr>
                <w:rFonts w:cs="Arial"/>
                <w:lang w:val="en-GB"/>
              </w:rPr>
              <w:t>/01/2017</w:t>
            </w:r>
          </w:p>
        </w:tc>
        <w:tc>
          <w:tcPr>
            <w:tcW w:w="2520" w:type="dxa"/>
          </w:tcPr>
          <w:p w14:paraId="3C044C65" w14:textId="77777777" w:rsidR="00B7188B" w:rsidRPr="00080375" w:rsidRDefault="00B7188B" w:rsidP="007A6EDE">
            <w:pPr>
              <w:pStyle w:val="BodyText"/>
              <w:rPr>
                <w:rFonts w:cs="Arial"/>
                <w:lang w:val="en-GB"/>
              </w:rPr>
            </w:pPr>
            <w:r w:rsidRPr="00080375">
              <w:rPr>
                <w:rFonts w:cs="Arial"/>
                <w:lang w:val="en-GB"/>
              </w:rPr>
              <w:t xml:space="preserve">Rebecca Healey </w:t>
            </w:r>
            <w:r>
              <w:rPr>
                <w:rFonts w:cs="Arial"/>
                <w:lang w:val="en-GB"/>
              </w:rPr>
              <w:t>&amp; Mat</w:t>
            </w:r>
            <w:r w:rsidR="00117215">
              <w:rPr>
                <w:rFonts w:cs="Arial"/>
                <w:lang w:val="en-GB"/>
              </w:rPr>
              <w:t>t</w:t>
            </w:r>
            <w:r>
              <w:rPr>
                <w:rFonts w:cs="Arial"/>
                <w:lang w:val="en-GB"/>
              </w:rPr>
              <w:t>hew</w:t>
            </w:r>
            <w:r w:rsidR="00117215">
              <w:rPr>
                <w:rFonts w:cs="Arial"/>
                <w:lang w:val="en-GB"/>
              </w:rPr>
              <w:t xml:space="preserve"> Luff</w:t>
            </w:r>
          </w:p>
        </w:tc>
        <w:tc>
          <w:tcPr>
            <w:tcW w:w="4410" w:type="dxa"/>
          </w:tcPr>
          <w:p w14:paraId="0BF3801B" w14:textId="77777777" w:rsidR="00B7188B" w:rsidRPr="00080375" w:rsidRDefault="00B7188B">
            <w:pPr>
              <w:pStyle w:val="BodyText"/>
              <w:rPr>
                <w:rFonts w:cs="Arial"/>
                <w:lang w:val="en-GB"/>
              </w:rPr>
            </w:pPr>
            <w:r w:rsidRPr="00080375">
              <w:rPr>
                <w:rFonts w:cs="Arial"/>
                <w:lang w:val="en-GB"/>
              </w:rPr>
              <w:t xml:space="preserve">Amendments </w:t>
            </w:r>
            <w:r>
              <w:rPr>
                <w:rFonts w:cs="Arial"/>
                <w:lang w:val="en-GB"/>
              </w:rPr>
              <w:t>to RTS 28 to include Art. 65</w:t>
            </w:r>
            <w:r w:rsidRPr="00080375">
              <w:rPr>
                <w:rFonts w:cs="Arial"/>
                <w:lang w:val="en-GB"/>
              </w:rPr>
              <w:t xml:space="preserve"> </w:t>
            </w:r>
          </w:p>
        </w:tc>
      </w:tr>
      <w:tr w:rsidR="00DD44E0" w:rsidRPr="00080375" w14:paraId="24C6BB2D" w14:textId="77777777" w:rsidTr="00B42EA7">
        <w:tc>
          <w:tcPr>
            <w:tcW w:w="1222" w:type="dxa"/>
          </w:tcPr>
          <w:p w14:paraId="1780DF4D" w14:textId="77777777" w:rsidR="00DD44E0" w:rsidRPr="00080375" w:rsidRDefault="004F5338" w:rsidP="001224E5">
            <w:pPr>
              <w:pStyle w:val="BodyText"/>
              <w:rPr>
                <w:rFonts w:cs="Arial"/>
                <w:lang w:val="en-GB"/>
              </w:rPr>
            </w:pPr>
            <w:r>
              <w:rPr>
                <w:rFonts w:cs="Arial"/>
                <w:lang w:val="en-GB"/>
              </w:rPr>
              <w:t>0.17</w:t>
            </w:r>
          </w:p>
        </w:tc>
        <w:tc>
          <w:tcPr>
            <w:tcW w:w="1440" w:type="dxa"/>
          </w:tcPr>
          <w:p w14:paraId="46035428" w14:textId="77777777" w:rsidR="00DD44E0" w:rsidRPr="00080375" w:rsidRDefault="004F5338" w:rsidP="001224E5">
            <w:pPr>
              <w:pStyle w:val="BodyText"/>
              <w:rPr>
                <w:rFonts w:cs="Arial"/>
                <w:lang w:val="en-GB"/>
              </w:rPr>
            </w:pPr>
            <w:r>
              <w:rPr>
                <w:rFonts w:cs="Arial"/>
                <w:lang w:val="en-GB"/>
              </w:rPr>
              <w:t>06/02/2017</w:t>
            </w:r>
          </w:p>
        </w:tc>
        <w:tc>
          <w:tcPr>
            <w:tcW w:w="2520" w:type="dxa"/>
          </w:tcPr>
          <w:p w14:paraId="08C04B71" w14:textId="77777777" w:rsidR="00DD44E0" w:rsidRPr="00080375" w:rsidRDefault="004F5338" w:rsidP="001224E5">
            <w:pPr>
              <w:pStyle w:val="BodyText"/>
              <w:rPr>
                <w:rFonts w:cs="Arial"/>
                <w:lang w:val="en-GB"/>
              </w:rPr>
            </w:pPr>
            <w:r>
              <w:rPr>
                <w:rFonts w:cs="Arial"/>
                <w:lang w:val="en-GB"/>
              </w:rPr>
              <w:t>Alex Wolcough &amp; Rebecca Healey</w:t>
            </w:r>
          </w:p>
        </w:tc>
        <w:tc>
          <w:tcPr>
            <w:tcW w:w="4410" w:type="dxa"/>
          </w:tcPr>
          <w:p w14:paraId="541AD769" w14:textId="77777777" w:rsidR="00DD44E0" w:rsidRPr="00080375" w:rsidRDefault="004F5338" w:rsidP="001224E5">
            <w:pPr>
              <w:pStyle w:val="BodyText"/>
              <w:rPr>
                <w:rFonts w:cs="Arial"/>
                <w:lang w:val="en-GB"/>
              </w:rPr>
            </w:pPr>
            <w:r>
              <w:rPr>
                <w:rFonts w:cs="Arial"/>
                <w:lang w:val="en-GB"/>
              </w:rPr>
              <w:t>Amendments post meeting 03/02/17</w:t>
            </w:r>
          </w:p>
        </w:tc>
      </w:tr>
      <w:tr w:rsidR="00D35D1A" w:rsidRPr="00080375" w14:paraId="7F2BB356" w14:textId="77777777" w:rsidTr="00B1175B">
        <w:tc>
          <w:tcPr>
            <w:tcW w:w="1222" w:type="dxa"/>
          </w:tcPr>
          <w:p w14:paraId="770773A1" w14:textId="77777777" w:rsidR="00D35D1A" w:rsidRPr="00080375" w:rsidRDefault="00D35D1A">
            <w:pPr>
              <w:pStyle w:val="BodyText"/>
              <w:rPr>
                <w:rFonts w:cs="Arial"/>
                <w:lang w:val="en-GB"/>
              </w:rPr>
            </w:pPr>
            <w:r>
              <w:rPr>
                <w:rFonts w:cs="Arial"/>
                <w:lang w:val="en-GB"/>
              </w:rPr>
              <w:t>0.18</w:t>
            </w:r>
          </w:p>
        </w:tc>
        <w:tc>
          <w:tcPr>
            <w:tcW w:w="1440" w:type="dxa"/>
          </w:tcPr>
          <w:p w14:paraId="73EBCFDC" w14:textId="77777777" w:rsidR="00D35D1A" w:rsidRPr="00080375" w:rsidRDefault="00D35D1A">
            <w:pPr>
              <w:pStyle w:val="BodyText"/>
              <w:rPr>
                <w:rFonts w:cs="Arial"/>
                <w:lang w:val="en-GB"/>
              </w:rPr>
            </w:pPr>
            <w:r>
              <w:rPr>
                <w:rFonts w:cs="Arial"/>
                <w:lang w:val="en-GB"/>
              </w:rPr>
              <w:t>08/02/2017</w:t>
            </w:r>
          </w:p>
        </w:tc>
        <w:tc>
          <w:tcPr>
            <w:tcW w:w="2520" w:type="dxa"/>
          </w:tcPr>
          <w:p w14:paraId="38922C2D" w14:textId="77777777" w:rsidR="00D35D1A" w:rsidRPr="00080375" w:rsidRDefault="00D35D1A" w:rsidP="00B1175B">
            <w:pPr>
              <w:pStyle w:val="BodyText"/>
              <w:rPr>
                <w:rFonts w:cs="Arial"/>
                <w:lang w:val="en-GB"/>
              </w:rPr>
            </w:pPr>
            <w:r>
              <w:rPr>
                <w:rFonts w:cs="Arial"/>
                <w:lang w:val="en-GB"/>
              </w:rPr>
              <w:t>Rebecca Healey</w:t>
            </w:r>
          </w:p>
        </w:tc>
        <w:tc>
          <w:tcPr>
            <w:tcW w:w="4410" w:type="dxa"/>
          </w:tcPr>
          <w:p w14:paraId="5AB57A8F" w14:textId="77777777" w:rsidR="00D35D1A" w:rsidRPr="00080375" w:rsidRDefault="00D35D1A">
            <w:pPr>
              <w:pStyle w:val="BodyText"/>
              <w:rPr>
                <w:rFonts w:cs="Arial"/>
                <w:lang w:val="en-GB"/>
              </w:rPr>
            </w:pPr>
            <w:r>
              <w:rPr>
                <w:rFonts w:cs="Arial"/>
                <w:lang w:val="en-GB"/>
              </w:rPr>
              <w:t>Amendments post meeting 08/02/17</w:t>
            </w:r>
          </w:p>
        </w:tc>
      </w:tr>
      <w:tr w:rsidR="00DD44E0" w:rsidRPr="00080375" w14:paraId="627EDC0D" w14:textId="77777777" w:rsidTr="00B42EA7">
        <w:tc>
          <w:tcPr>
            <w:tcW w:w="1222" w:type="dxa"/>
          </w:tcPr>
          <w:p w14:paraId="4A8BDFF4" w14:textId="77777777" w:rsidR="00DD44E0" w:rsidRPr="00080375" w:rsidRDefault="003B1B1C" w:rsidP="001224E5">
            <w:pPr>
              <w:pStyle w:val="BodyText"/>
              <w:rPr>
                <w:rFonts w:cs="Arial"/>
                <w:lang w:val="en-GB"/>
              </w:rPr>
            </w:pPr>
            <w:r>
              <w:rPr>
                <w:rFonts w:cs="Arial"/>
                <w:lang w:val="en-GB"/>
              </w:rPr>
              <w:t>0.19</w:t>
            </w:r>
          </w:p>
        </w:tc>
        <w:tc>
          <w:tcPr>
            <w:tcW w:w="1440" w:type="dxa"/>
          </w:tcPr>
          <w:p w14:paraId="731B7B43" w14:textId="77777777" w:rsidR="00DD44E0" w:rsidRPr="00080375" w:rsidRDefault="00704F5F" w:rsidP="001224E5">
            <w:pPr>
              <w:pStyle w:val="BodyText"/>
              <w:rPr>
                <w:rFonts w:cs="Arial"/>
                <w:lang w:val="en-GB"/>
              </w:rPr>
            </w:pPr>
            <w:r>
              <w:rPr>
                <w:rFonts w:cs="Arial"/>
                <w:lang w:val="en-GB"/>
              </w:rPr>
              <w:t>17/02/2017</w:t>
            </w:r>
          </w:p>
        </w:tc>
        <w:tc>
          <w:tcPr>
            <w:tcW w:w="2520" w:type="dxa"/>
          </w:tcPr>
          <w:p w14:paraId="0054C190" w14:textId="77777777" w:rsidR="00DD44E0" w:rsidRPr="00080375" w:rsidRDefault="00704F5F" w:rsidP="001224E5">
            <w:pPr>
              <w:pStyle w:val="BodyText"/>
              <w:rPr>
                <w:rFonts w:cs="Arial"/>
                <w:lang w:val="en-GB"/>
              </w:rPr>
            </w:pPr>
            <w:r w:rsidRPr="00704F5F">
              <w:rPr>
                <w:rFonts w:cs="Arial"/>
                <w:lang w:val="en-GB"/>
              </w:rPr>
              <w:t>Alex Wolcough</w:t>
            </w:r>
          </w:p>
        </w:tc>
        <w:tc>
          <w:tcPr>
            <w:tcW w:w="4410" w:type="dxa"/>
          </w:tcPr>
          <w:p w14:paraId="4E926D7B" w14:textId="77777777" w:rsidR="00DD44E0" w:rsidRPr="00080375" w:rsidRDefault="00704F5F" w:rsidP="001224E5">
            <w:pPr>
              <w:pStyle w:val="BodyText"/>
              <w:rPr>
                <w:rFonts w:cs="Arial"/>
                <w:lang w:val="en-GB"/>
              </w:rPr>
            </w:pPr>
            <w:r>
              <w:rPr>
                <w:rFonts w:cs="Arial"/>
                <w:lang w:val="en-GB"/>
              </w:rPr>
              <w:t>Amendments post meeting 15/02/17</w:t>
            </w:r>
          </w:p>
        </w:tc>
      </w:tr>
      <w:tr w:rsidR="00DD44E0" w:rsidRPr="00080375" w14:paraId="5CFD98BC" w14:textId="77777777" w:rsidTr="00B42EA7">
        <w:tc>
          <w:tcPr>
            <w:tcW w:w="1222" w:type="dxa"/>
          </w:tcPr>
          <w:p w14:paraId="37CCDB2E" w14:textId="77777777" w:rsidR="00DD44E0" w:rsidRPr="00080375" w:rsidRDefault="00B069DD" w:rsidP="001224E5">
            <w:pPr>
              <w:pStyle w:val="BodyText"/>
              <w:rPr>
                <w:rFonts w:cs="Arial"/>
                <w:lang w:val="en-GB"/>
              </w:rPr>
            </w:pPr>
            <w:r>
              <w:rPr>
                <w:rFonts w:cs="Arial"/>
                <w:lang w:val="en-GB"/>
              </w:rPr>
              <w:t>0.20</w:t>
            </w:r>
          </w:p>
        </w:tc>
        <w:tc>
          <w:tcPr>
            <w:tcW w:w="1440" w:type="dxa"/>
          </w:tcPr>
          <w:p w14:paraId="4901423C" w14:textId="77777777" w:rsidR="00DD44E0" w:rsidRPr="00080375" w:rsidRDefault="00B069DD" w:rsidP="001224E5">
            <w:pPr>
              <w:pStyle w:val="BodyText"/>
              <w:rPr>
                <w:rFonts w:cs="Arial"/>
                <w:lang w:val="en-GB"/>
              </w:rPr>
            </w:pPr>
            <w:r>
              <w:rPr>
                <w:rFonts w:cs="Arial"/>
                <w:lang w:val="en-GB"/>
              </w:rPr>
              <w:t>20/02/2017</w:t>
            </w:r>
          </w:p>
        </w:tc>
        <w:tc>
          <w:tcPr>
            <w:tcW w:w="2520" w:type="dxa"/>
          </w:tcPr>
          <w:p w14:paraId="5056DF6C" w14:textId="77777777" w:rsidR="00DD44E0" w:rsidRPr="00080375" w:rsidRDefault="00B069DD" w:rsidP="001224E5">
            <w:pPr>
              <w:pStyle w:val="BodyText"/>
              <w:rPr>
                <w:rFonts w:cs="Arial"/>
                <w:lang w:val="en-GB"/>
              </w:rPr>
            </w:pPr>
            <w:r w:rsidRPr="00B069DD">
              <w:rPr>
                <w:rFonts w:cs="Arial"/>
                <w:lang w:val="en-GB"/>
              </w:rPr>
              <w:t>Alex Wolcough</w:t>
            </w:r>
          </w:p>
        </w:tc>
        <w:tc>
          <w:tcPr>
            <w:tcW w:w="4410" w:type="dxa"/>
          </w:tcPr>
          <w:p w14:paraId="2FC61418" w14:textId="77777777" w:rsidR="00DD44E0" w:rsidRPr="00080375" w:rsidRDefault="005840D6" w:rsidP="001224E5">
            <w:pPr>
              <w:pStyle w:val="BodyText"/>
              <w:rPr>
                <w:rFonts w:cs="Arial"/>
                <w:lang w:val="en-GB"/>
              </w:rPr>
            </w:pPr>
            <w:r>
              <w:rPr>
                <w:rFonts w:cs="Arial"/>
                <w:lang w:val="en-GB"/>
              </w:rPr>
              <w:t>Amen</w:t>
            </w:r>
            <w:r w:rsidR="00B069DD">
              <w:rPr>
                <w:rFonts w:cs="Arial"/>
                <w:lang w:val="en-GB"/>
              </w:rPr>
              <w:t>dments in response to IA</w:t>
            </w:r>
          </w:p>
        </w:tc>
      </w:tr>
      <w:tr w:rsidR="00DD44E0" w:rsidRPr="00080375" w14:paraId="1B84F6A1" w14:textId="77777777" w:rsidTr="00B42EA7">
        <w:tc>
          <w:tcPr>
            <w:tcW w:w="1222" w:type="dxa"/>
          </w:tcPr>
          <w:p w14:paraId="07D95119" w14:textId="77777777" w:rsidR="00DD44E0" w:rsidRPr="00080375" w:rsidRDefault="005840D6" w:rsidP="001224E5">
            <w:pPr>
              <w:pStyle w:val="BodyText"/>
              <w:rPr>
                <w:rFonts w:cs="Arial"/>
                <w:lang w:val="en-GB"/>
              </w:rPr>
            </w:pPr>
            <w:r>
              <w:rPr>
                <w:rFonts w:cs="Arial"/>
                <w:lang w:val="en-GB"/>
              </w:rPr>
              <w:t>0.22</w:t>
            </w:r>
          </w:p>
        </w:tc>
        <w:tc>
          <w:tcPr>
            <w:tcW w:w="1440" w:type="dxa"/>
          </w:tcPr>
          <w:p w14:paraId="3708D5AB" w14:textId="77777777" w:rsidR="00DD44E0" w:rsidRPr="00080375" w:rsidRDefault="005840D6" w:rsidP="001224E5">
            <w:pPr>
              <w:pStyle w:val="BodyText"/>
              <w:rPr>
                <w:rFonts w:cs="Arial"/>
                <w:lang w:val="en-GB"/>
              </w:rPr>
            </w:pPr>
            <w:r>
              <w:rPr>
                <w:rFonts w:cs="Arial"/>
                <w:lang w:val="en-GB"/>
              </w:rPr>
              <w:t>26/02/2017</w:t>
            </w:r>
          </w:p>
        </w:tc>
        <w:tc>
          <w:tcPr>
            <w:tcW w:w="2520" w:type="dxa"/>
          </w:tcPr>
          <w:p w14:paraId="68F9D3B1" w14:textId="77777777" w:rsidR="00DD44E0" w:rsidRPr="00080375" w:rsidRDefault="005840D6" w:rsidP="001224E5">
            <w:pPr>
              <w:pStyle w:val="BodyText"/>
              <w:rPr>
                <w:rFonts w:cs="Arial"/>
                <w:lang w:val="en-GB"/>
              </w:rPr>
            </w:pPr>
            <w:r>
              <w:rPr>
                <w:rFonts w:cs="Arial"/>
                <w:lang w:val="en-GB"/>
              </w:rPr>
              <w:t>Alex Wolcough</w:t>
            </w:r>
          </w:p>
        </w:tc>
        <w:tc>
          <w:tcPr>
            <w:tcW w:w="4410" w:type="dxa"/>
          </w:tcPr>
          <w:p w14:paraId="533B0D95" w14:textId="77777777" w:rsidR="00DD44E0" w:rsidRPr="00080375" w:rsidRDefault="005840D6" w:rsidP="001224E5">
            <w:pPr>
              <w:pStyle w:val="BodyText"/>
              <w:rPr>
                <w:rFonts w:cs="Arial"/>
                <w:lang w:val="en-GB"/>
              </w:rPr>
            </w:pPr>
            <w:r>
              <w:rPr>
                <w:rFonts w:cs="Arial"/>
                <w:lang w:val="en-GB"/>
              </w:rPr>
              <w:t>Amendments post meeting 24/02/17</w:t>
            </w:r>
          </w:p>
        </w:tc>
      </w:tr>
      <w:tr w:rsidR="00595D9C" w:rsidRPr="00080375" w14:paraId="0110880C" w14:textId="77777777" w:rsidTr="00B42EA7">
        <w:tc>
          <w:tcPr>
            <w:tcW w:w="1222" w:type="dxa"/>
          </w:tcPr>
          <w:p w14:paraId="56F64EBC" w14:textId="77777777" w:rsidR="00595D9C" w:rsidRPr="00080375" w:rsidRDefault="000C65D7" w:rsidP="001224E5">
            <w:pPr>
              <w:pStyle w:val="BodyText"/>
              <w:rPr>
                <w:rFonts w:cs="Arial"/>
                <w:lang w:val="en-GB"/>
              </w:rPr>
            </w:pPr>
            <w:r>
              <w:rPr>
                <w:rFonts w:cs="Arial"/>
                <w:lang w:val="en-GB"/>
              </w:rPr>
              <w:t>0.23</w:t>
            </w:r>
          </w:p>
        </w:tc>
        <w:tc>
          <w:tcPr>
            <w:tcW w:w="1440" w:type="dxa"/>
          </w:tcPr>
          <w:p w14:paraId="423770BE" w14:textId="77777777" w:rsidR="00595D9C" w:rsidRPr="00080375" w:rsidRDefault="000C65D7" w:rsidP="001224E5">
            <w:pPr>
              <w:pStyle w:val="BodyText"/>
              <w:rPr>
                <w:rFonts w:cs="Arial"/>
                <w:lang w:val="en-GB"/>
              </w:rPr>
            </w:pPr>
            <w:r>
              <w:rPr>
                <w:rFonts w:cs="Arial"/>
                <w:lang w:val="en-GB"/>
              </w:rPr>
              <w:t>02/03/2017</w:t>
            </w:r>
          </w:p>
        </w:tc>
        <w:tc>
          <w:tcPr>
            <w:tcW w:w="2520" w:type="dxa"/>
          </w:tcPr>
          <w:p w14:paraId="63ECF8D2" w14:textId="77777777" w:rsidR="00595D9C" w:rsidRPr="00080375" w:rsidRDefault="000C65D7" w:rsidP="001224E5">
            <w:pPr>
              <w:pStyle w:val="BodyText"/>
              <w:rPr>
                <w:rFonts w:cs="Arial"/>
                <w:lang w:val="en-GB"/>
              </w:rPr>
            </w:pPr>
            <w:r>
              <w:rPr>
                <w:rFonts w:cs="Arial"/>
                <w:lang w:val="en-GB"/>
              </w:rPr>
              <w:t>Rebecca Healey</w:t>
            </w:r>
          </w:p>
        </w:tc>
        <w:tc>
          <w:tcPr>
            <w:tcW w:w="4410" w:type="dxa"/>
          </w:tcPr>
          <w:p w14:paraId="15127B4A" w14:textId="77777777" w:rsidR="00595D9C" w:rsidRPr="00080375" w:rsidRDefault="000C65D7" w:rsidP="001224E5">
            <w:pPr>
              <w:pStyle w:val="BodyText"/>
              <w:rPr>
                <w:rFonts w:cs="Arial"/>
                <w:lang w:val="en-GB"/>
              </w:rPr>
            </w:pPr>
            <w:r>
              <w:rPr>
                <w:rFonts w:cs="Arial"/>
                <w:lang w:val="en-GB"/>
              </w:rPr>
              <w:t>Final Draft Version prepared for review meeting 10/03/2017</w:t>
            </w:r>
          </w:p>
        </w:tc>
      </w:tr>
      <w:tr w:rsidR="00096217" w:rsidRPr="00080375" w14:paraId="5C13253D" w14:textId="77777777" w:rsidTr="0059764C">
        <w:tc>
          <w:tcPr>
            <w:tcW w:w="1222" w:type="dxa"/>
          </w:tcPr>
          <w:p w14:paraId="69D63ECF" w14:textId="77777777" w:rsidR="00096217" w:rsidRPr="00080375" w:rsidRDefault="00096217" w:rsidP="0059764C">
            <w:pPr>
              <w:pStyle w:val="BodyText"/>
              <w:rPr>
                <w:rFonts w:cs="Arial"/>
                <w:lang w:val="en-GB"/>
              </w:rPr>
            </w:pPr>
            <w:r>
              <w:rPr>
                <w:rFonts w:cs="Arial"/>
                <w:lang w:val="en-GB"/>
              </w:rPr>
              <w:t>0.24</w:t>
            </w:r>
          </w:p>
        </w:tc>
        <w:tc>
          <w:tcPr>
            <w:tcW w:w="1440" w:type="dxa"/>
          </w:tcPr>
          <w:p w14:paraId="5B347107" w14:textId="77777777" w:rsidR="00096217" w:rsidRPr="00080375" w:rsidRDefault="00096217" w:rsidP="0059764C">
            <w:pPr>
              <w:pStyle w:val="BodyText"/>
              <w:rPr>
                <w:rFonts w:cs="Arial"/>
                <w:lang w:val="en-GB"/>
              </w:rPr>
            </w:pPr>
            <w:r>
              <w:rPr>
                <w:rFonts w:cs="Arial"/>
                <w:lang w:val="en-GB"/>
              </w:rPr>
              <w:t>13/03/2017</w:t>
            </w:r>
          </w:p>
        </w:tc>
        <w:tc>
          <w:tcPr>
            <w:tcW w:w="2520" w:type="dxa"/>
          </w:tcPr>
          <w:p w14:paraId="05E0ED9E" w14:textId="77777777" w:rsidR="00096217" w:rsidRPr="00080375" w:rsidRDefault="00096217" w:rsidP="0059764C">
            <w:pPr>
              <w:pStyle w:val="BodyText"/>
              <w:rPr>
                <w:rFonts w:cs="Arial"/>
                <w:lang w:val="en-GB"/>
              </w:rPr>
            </w:pPr>
            <w:r>
              <w:rPr>
                <w:rFonts w:cs="Arial"/>
                <w:lang w:val="en-GB"/>
              </w:rPr>
              <w:t>Rebecca Healey</w:t>
            </w:r>
          </w:p>
        </w:tc>
        <w:tc>
          <w:tcPr>
            <w:tcW w:w="4410" w:type="dxa"/>
          </w:tcPr>
          <w:p w14:paraId="2108723C" w14:textId="77777777" w:rsidR="00096217" w:rsidRPr="00080375" w:rsidRDefault="00096217" w:rsidP="0059764C">
            <w:pPr>
              <w:pStyle w:val="BodyText"/>
              <w:rPr>
                <w:rFonts w:cs="Arial"/>
                <w:lang w:val="en-GB"/>
              </w:rPr>
            </w:pPr>
            <w:r>
              <w:rPr>
                <w:rFonts w:cs="Arial"/>
                <w:lang w:val="en-GB"/>
              </w:rPr>
              <w:t>Revised Final Draft after meeting 10/03/2017</w:t>
            </w:r>
          </w:p>
        </w:tc>
      </w:tr>
      <w:tr w:rsidR="00096217" w:rsidRPr="00080375" w14:paraId="0FC85F5F" w14:textId="77777777" w:rsidTr="0059764C">
        <w:tc>
          <w:tcPr>
            <w:tcW w:w="1222" w:type="dxa"/>
          </w:tcPr>
          <w:p w14:paraId="65886CE6" w14:textId="2510DAEC" w:rsidR="00096217" w:rsidRPr="00080375" w:rsidRDefault="00096217" w:rsidP="00096217">
            <w:pPr>
              <w:pStyle w:val="BodyText"/>
              <w:rPr>
                <w:rFonts w:cs="Arial"/>
                <w:lang w:val="en-GB"/>
              </w:rPr>
            </w:pPr>
            <w:r>
              <w:rPr>
                <w:rFonts w:cs="Arial"/>
                <w:lang w:val="en-GB"/>
              </w:rPr>
              <w:t>0.25</w:t>
            </w:r>
          </w:p>
        </w:tc>
        <w:tc>
          <w:tcPr>
            <w:tcW w:w="1440" w:type="dxa"/>
          </w:tcPr>
          <w:p w14:paraId="3DC6A84B" w14:textId="215815AB" w:rsidR="00096217" w:rsidRPr="00080375" w:rsidRDefault="00096217" w:rsidP="00096217">
            <w:pPr>
              <w:pStyle w:val="BodyText"/>
              <w:rPr>
                <w:rFonts w:cs="Arial"/>
                <w:lang w:val="en-GB"/>
              </w:rPr>
            </w:pPr>
            <w:r>
              <w:rPr>
                <w:rFonts w:cs="Arial"/>
                <w:lang w:val="en-GB"/>
              </w:rPr>
              <w:t>15/03/2017</w:t>
            </w:r>
          </w:p>
        </w:tc>
        <w:tc>
          <w:tcPr>
            <w:tcW w:w="2520" w:type="dxa"/>
          </w:tcPr>
          <w:p w14:paraId="09331EF0" w14:textId="77777777" w:rsidR="00096217" w:rsidRPr="00080375" w:rsidRDefault="00096217" w:rsidP="0059764C">
            <w:pPr>
              <w:pStyle w:val="BodyText"/>
              <w:rPr>
                <w:rFonts w:cs="Arial"/>
                <w:lang w:val="en-GB"/>
              </w:rPr>
            </w:pPr>
            <w:r>
              <w:rPr>
                <w:rFonts w:cs="Arial"/>
                <w:lang w:val="en-GB"/>
              </w:rPr>
              <w:t>Rebecca Healey</w:t>
            </w:r>
          </w:p>
        </w:tc>
        <w:tc>
          <w:tcPr>
            <w:tcW w:w="4410" w:type="dxa"/>
          </w:tcPr>
          <w:p w14:paraId="0936A0ED" w14:textId="0213E7C6" w:rsidR="00096217" w:rsidRPr="00080375" w:rsidRDefault="00096217" w:rsidP="0059764C">
            <w:pPr>
              <w:pStyle w:val="BodyText"/>
              <w:rPr>
                <w:rFonts w:cs="Arial"/>
                <w:lang w:val="en-GB"/>
              </w:rPr>
            </w:pPr>
            <w:r>
              <w:rPr>
                <w:rFonts w:cs="Arial"/>
                <w:lang w:val="en-GB"/>
              </w:rPr>
              <w:t>Feedback from Version 24</w:t>
            </w:r>
          </w:p>
        </w:tc>
      </w:tr>
      <w:tr w:rsidR="00096217" w:rsidRPr="00080375" w14:paraId="3F0283CD" w14:textId="77777777" w:rsidTr="00F842B7">
        <w:tc>
          <w:tcPr>
            <w:tcW w:w="1222" w:type="dxa"/>
            <w:tcBorders>
              <w:top w:val="single" w:sz="4" w:space="0" w:color="auto"/>
              <w:left w:val="double" w:sz="4" w:space="0" w:color="auto"/>
              <w:bottom w:val="single" w:sz="4" w:space="0" w:color="auto"/>
              <w:right w:val="single" w:sz="4" w:space="0" w:color="auto"/>
            </w:tcBorders>
          </w:tcPr>
          <w:p w14:paraId="255E41F0" w14:textId="77777777" w:rsidR="00096217" w:rsidRPr="00080375" w:rsidRDefault="00096217" w:rsidP="0059764C">
            <w:pPr>
              <w:pStyle w:val="BodyText"/>
              <w:rPr>
                <w:rFonts w:cs="Arial"/>
                <w:lang w:val="en-GB"/>
              </w:rPr>
            </w:pPr>
            <w:r>
              <w:rPr>
                <w:rFonts w:cs="Arial"/>
                <w:lang w:val="en-GB"/>
              </w:rPr>
              <w:t>0.26</w:t>
            </w:r>
          </w:p>
        </w:tc>
        <w:tc>
          <w:tcPr>
            <w:tcW w:w="1440" w:type="dxa"/>
            <w:tcBorders>
              <w:top w:val="single" w:sz="4" w:space="0" w:color="auto"/>
              <w:left w:val="single" w:sz="4" w:space="0" w:color="auto"/>
              <w:bottom w:val="single" w:sz="4" w:space="0" w:color="auto"/>
              <w:right w:val="single" w:sz="4" w:space="0" w:color="auto"/>
            </w:tcBorders>
          </w:tcPr>
          <w:p w14:paraId="2C145A19" w14:textId="77777777" w:rsidR="00096217" w:rsidRPr="00080375" w:rsidRDefault="00096217" w:rsidP="0059764C">
            <w:pPr>
              <w:pStyle w:val="BodyText"/>
              <w:rPr>
                <w:rFonts w:cs="Arial"/>
                <w:lang w:val="en-GB"/>
              </w:rPr>
            </w:pPr>
            <w:r>
              <w:rPr>
                <w:rFonts w:cs="Arial"/>
                <w:lang w:val="en-GB"/>
              </w:rPr>
              <w:t>16/03/2017</w:t>
            </w:r>
          </w:p>
        </w:tc>
        <w:tc>
          <w:tcPr>
            <w:tcW w:w="2520" w:type="dxa"/>
            <w:tcBorders>
              <w:top w:val="single" w:sz="4" w:space="0" w:color="auto"/>
              <w:left w:val="single" w:sz="4" w:space="0" w:color="auto"/>
              <w:bottom w:val="single" w:sz="4" w:space="0" w:color="auto"/>
              <w:right w:val="single" w:sz="4" w:space="0" w:color="auto"/>
            </w:tcBorders>
          </w:tcPr>
          <w:p w14:paraId="23D1369E" w14:textId="77777777" w:rsidR="00096217" w:rsidRPr="00080375" w:rsidRDefault="00096217" w:rsidP="0059764C">
            <w:pPr>
              <w:pStyle w:val="BodyText"/>
              <w:rPr>
                <w:rFonts w:cs="Arial"/>
                <w:lang w:val="en-GB"/>
              </w:rPr>
            </w:pPr>
            <w:r>
              <w:rPr>
                <w:rFonts w:cs="Arial"/>
                <w:lang w:val="en-GB"/>
              </w:rPr>
              <w:t>Rebecca Healey</w:t>
            </w:r>
          </w:p>
        </w:tc>
        <w:tc>
          <w:tcPr>
            <w:tcW w:w="4410" w:type="dxa"/>
            <w:tcBorders>
              <w:top w:val="single" w:sz="4" w:space="0" w:color="auto"/>
              <w:left w:val="single" w:sz="4" w:space="0" w:color="auto"/>
              <w:bottom w:val="single" w:sz="4" w:space="0" w:color="auto"/>
              <w:right w:val="double" w:sz="4" w:space="0" w:color="auto"/>
            </w:tcBorders>
          </w:tcPr>
          <w:p w14:paraId="2C291474" w14:textId="77777777" w:rsidR="00096217" w:rsidRPr="00080375" w:rsidRDefault="00096217" w:rsidP="0059764C">
            <w:pPr>
              <w:pStyle w:val="BodyText"/>
              <w:rPr>
                <w:rFonts w:cs="Arial"/>
                <w:lang w:val="en-GB"/>
              </w:rPr>
            </w:pPr>
            <w:r>
              <w:rPr>
                <w:rFonts w:cs="Arial"/>
                <w:lang w:val="en-GB"/>
              </w:rPr>
              <w:t>Revised Final Draft after meeting 16/03/2017</w:t>
            </w:r>
          </w:p>
        </w:tc>
      </w:tr>
      <w:tr w:rsidR="00542A5C" w:rsidRPr="00080375" w14:paraId="5629634D" w14:textId="77777777" w:rsidTr="00BD6B40">
        <w:tc>
          <w:tcPr>
            <w:tcW w:w="1222" w:type="dxa"/>
            <w:tcBorders>
              <w:top w:val="single" w:sz="4" w:space="0" w:color="auto"/>
              <w:left w:val="double" w:sz="4" w:space="0" w:color="auto"/>
              <w:bottom w:val="single" w:sz="4" w:space="0" w:color="auto"/>
              <w:right w:val="single" w:sz="4" w:space="0" w:color="auto"/>
            </w:tcBorders>
          </w:tcPr>
          <w:p w14:paraId="27A367FA" w14:textId="77777777" w:rsidR="00542A5C" w:rsidRPr="00080375" w:rsidRDefault="00542A5C" w:rsidP="00BD6B40">
            <w:pPr>
              <w:pStyle w:val="BodyText"/>
              <w:rPr>
                <w:rFonts w:cs="Arial"/>
                <w:lang w:val="en-GB"/>
              </w:rPr>
            </w:pPr>
            <w:r>
              <w:rPr>
                <w:rFonts w:cs="Arial"/>
                <w:lang w:val="en-GB"/>
              </w:rPr>
              <w:t>0.27</w:t>
            </w:r>
          </w:p>
        </w:tc>
        <w:tc>
          <w:tcPr>
            <w:tcW w:w="1440" w:type="dxa"/>
            <w:tcBorders>
              <w:top w:val="single" w:sz="4" w:space="0" w:color="auto"/>
              <w:left w:val="single" w:sz="4" w:space="0" w:color="auto"/>
              <w:bottom w:val="single" w:sz="4" w:space="0" w:color="auto"/>
              <w:right w:val="single" w:sz="4" w:space="0" w:color="auto"/>
            </w:tcBorders>
          </w:tcPr>
          <w:p w14:paraId="42D8A601" w14:textId="77777777" w:rsidR="00542A5C" w:rsidRPr="00080375" w:rsidRDefault="00542A5C" w:rsidP="00BD6B40">
            <w:pPr>
              <w:pStyle w:val="BodyText"/>
              <w:rPr>
                <w:rFonts w:cs="Arial"/>
                <w:lang w:val="en-GB"/>
              </w:rPr>
            </w:pPr>
            <w:r>
              <w:rPr>
                <w:rFonts w:cs="Arial"/>
                <w:lang w:val="en-GB"/>
              </w:rPr>
              <w:t>23/03/2017</w:t>
            </w:r>
          </w:p>
        </w:tc>
        <w:tc>
          <w:tcPr>
            <w:tcW w:w="2520" w:type="dxa"/>
            <w:tcBorders>
              <w:top w:val="single" w:sz="4" w:space="0" w:color="auto"/>
              <w:left w:val="single" w:sz="4" w:space="0" w:color="auto"/>
              <w:bottom w:val="single" w:sz="4" w:space="0" w:color="auto"/>
              <w:right w:val="single" w:sz="4" w:space="0" w:color="auto"/>
            </w:tcBorders>
          </w:tcPr>
          <w:p w14:paraId="0C655972" w14:textId="77777777" w:rsidR="00542A5C" w:rsidRPr="00080375" w:rsidRDefault="00542A5C" w:rsidP="00BD6B40">
            <w:pPr>
              <w:pStyle w:val="BodyText"/>
              <w:rPr>
                <w:rFonts w:cs="Arial"/>
                <w:lang w:val="en-GB"/>
              </w:rPr>
            </w:pPr>
            <w:r>
              <w:rPr>
                <w:rFonts w:cs="Arial"/>
                <w:lang w:val="en-GB"/>
              </w:rPr>
              <w:t>Rebecca Healey</w:t>
            </w:r>
          </w:p>
        </w:tc>
        <w:tc>
          <w:tcPr>
            <w:tcW w:w="4410" w:type="dxa"/>
            <w:tcBorders>
              <w:top w:val="single" w:sz="4" w:space="0" w:color="auto"/>
              <w:left w:val="single" w:sz="4" w:space="0" w:color="auto"/>
              <w:bottom w:val="single" w:sz="4" w:space="0" w:color="auto"/>
              <w:right w:val="double" w:sz="4" w:space="0" w:color="auto"/>
            </w:tcBorders>
          </w:tcPr>
          <w:p w14:paraId="27251F2A" w14:textId="77777777" w:rsidR="00542A5C" w:rsidRPr="00080375" w:rsidRDefault="00542A5C" w:rsidP="00BD6B40">
            <w:pPr>
              <w:pStyle w:val="BodyText"/>
              <w:rPr>
                <w:rFonts w:cs="Arial"/>
                <w:lang w:val="en-GB"/>
              </w:rPr>
            </w:pPr>
            <w:r>
              <w:rPr>
                <w:rFonts w:cs="Arial"/>
                <w:lang w:val="en-GB"/>
              </w:rPr>
              <w:t xml:space="preserve">Updates to Revised Final Draft </w:t>
            </w:r>
          </w:p>
        </w:tc>
      </w:tr>
      <w:tr w:rsidR="00784628" w:rsidRPr="00080375" w14:paraId="666340FA" w14:textId="77777777" w:rsidTr="00DB7830">
        <w:tc>
          <w:tcPr>
            <w:tcW w:w="1222" w:type="dxa"/>
            <w:tcBorders>
              <w:top w:val="single" w:sz="4" w:space="0" w:color="auto"/>
              <w:left w:val="double" w:sz="4" w:space="0" w:color="auto"/>
              <w:bottom w:val="single" w:sz="4" w:space="0" w:color="auto"/>
              <w:right w:val="single" w:sz="4" w:space="0" w:color="auto"/>
            </w:tcBorders>
          </w:tcPr>
          <w:p w14:paraId="55462A6C" w14:textId="77777777" w:rsidR="00784628" w:rsidRPr="00080375" w:rsidRDefault="00784628" w:rsidP="00DB7830">
            <w:pPr>
              <w:pStyle w:val="BodyText"/>
              <w:rPr>
                <w:rFonts w:cs="Arial"/>
                <w:lang w:val="en-GB"/>
              </w:rPr>
            </w:pPr>
            <w:r>
              <w:rPr>
                <w:rFonts w:cs="Arial"/>
                <w:lang w:val="en-GB"/>
              </w:rPr>
              <w:t>0.28</w:t>
            </w:r>
          </w:p>
        </w:tc>
        <w:tc>
          <w:tcPr>
            <w:tcW w:w="1440" w:type="dxa"/>
            <w:tcBorders>
              <w:top w:val="single" w:sz="4" w:space="0" w:color="auto"/>
              <w:left w:val="single" w:sz="4" w:space="0" w:color="auto"/>
              <w:bottom w:val="single" w:sz="4" w:space="0" w:color="auto"/>
              <w:right w:val="single" w:sz="4" w:space="0" w:color="auto"/>
            </w:tcBorders>
          </w:tcPr>
          <w:p w14:paraId="7FD64779" w14:textId="77777777" w:rsidR="00784628" w:rsidRPr="00080375" w:rsidRDefault="00784628" w:rsidP="00DB7830">
            <w:pPr>
              <w:pStyle w:val="BodyText"/>
              <w:rPr>
                <w:rFonts w:cs="Arial"/>
                <w:lang w:val="en-GB"/>
              </w:rPr>
            </w:pPr>
            <w:r>
              <w:rPr>
                <w:rFonts w:cs="Arial"/>
                <w:lang w:val="en-GB"/>
              </w:rPr>
              <w:t>31/03/2017</w:t>
            </w:r>
          </w:p>
        </w:tc>
        <w:tc>
          <w:tcPr>
            <w:tcW w:w="2520" w:type="dxa"/>
            <w:tcBorders>
              <w:top w:val="single" w:sz="4" w:space="0" w:color="auto"/>
              <w:left w:val="single" w:sz="4" w:space="0" w:color="auto"/>
              <w:bottom w:val="single" w:sz="4" w:space="0" w:color="auto"/>
              <w:right w:val="single" w:sz="4" w:space="0" w:color="auto"/>
            </w:tcBorders>
          </w:tcPr>
          <w:p w14:paraId="5A80EFC8" w14:textId="77777777" w:rsidR="00784628" w:rsidRPr="00080375" w:rsidRDefault="00784628" w:rsidP="00DB7830">
            <w:pPr>
              <w:pStyle w:val="BodyText"/>
              <w:rPr>
                <w:rFonts w:cs="Arial"/>
                <w:lang w:val="en-GB"/>
              </w:rPr>
            </w:pPr>
            <w:r>
              <w:rPr>
                <w:rFonts w:cs="Arial"/>
                <w:lang w:val="en-GB"/>
              </w:rPr>
              <w:t>Rebecca Healey</w:t>
            </w:r>
          </w:p>
        </w:tc>
        <w:tc>
          <w:tcPr>
            <w:tcW w:w="4410" w:type="dxa"/>
            <w:tcBorders>
              <w:top w:val="single" w:sz="4" w:space="0" w:color="auto"/>
              <w:left w:val="single" w:sz="4" w:space="0" w:color="auto"/>
              <w:bottom w:val="single" w:sz="4" w:space="0" w:color="auto"/>
              <w:right w:val="double" w:sz="4" w:space="0" w:color="auto"/>
            </w:tcBorders>
          </w:tcPr>
          <w:p w14:paraId="1F7BAB31" w14:textId="77777777" w:rsidR="00784628" w:rsidRPr="00080375" w:rsidRDefault="00784628" w:rsidP="00DB7830">
            <w:pPr>
              <w:pStyle w:val="BodyText"/>
              <w:rPr>
                <w:rFonts w:cs="Arial"/>
                <w:lang w:val="en-GB"/>
              </w:rPr>
            </w:pPr>
            <w:r>
              <w:rPr>
                <w:rFonts w:cs="Arial"/>
                <w:lang w:val="en-GB"/>
              </w:rPr>
              <w:t>Updates to Revised Final Draft from members of the WG</w:t>
            </w:r>
          </w:p>
        </w:tc>
      </w:tr>
      <w:tr w:rsidR="00BE7F6D" w:rsidRPr="00080375" w14:paraId="00EBA4A0" w14:textId="77777777" w:rsidTr="00DB7830">
        <w:tc>
          <w:tcPr>
            <w:tcW w:w="1222" w:type="dxa"/>
            <w:tcBorders>
              <w:top w:val="single" w:sz="4" w:space="0" w:color="auto"/>
              <w:left w:val="double" w:sz="4" w:space="0" w:color="auto"/>
              <w:bottom w:val="single" w:sz="4" w:space="0" w:color="auto"/>
              <w:right w:val="single" w:sz="4" w:space="0" w:color="auto"/>
            </w:tcBorders>
          </w:tcPr>
          <w:p w14:paraId="48C6A6C1" w14:textId="77777777" w:rsidR="00BE7F6D" w:rsidRPr="00080375" w:rsidRDefault="00BE7F6D" w:rsidP="00DB7830">
            <w:pPr>
              <w:pStyle w:val="BodyText"/>
              <w:rPr>
                <w:rFonts w:cs="Arial"/>
                <w:lang w:val="en-GB"/>
              </w:rPr>
            </w:pPr>
            <w:r>
              <w:rPr>
                <w:rFonts w:cs="Arial"/>
                <w:lang w:val="en-GB"/>
              </w:rPr>
              <w:t>0.29</w:t>
            </w:r>
          </w:p>
        </w:tc>
        <w:tc>
          <w:tcPr>
            <w:tcW w:w="1440" w:type="dxa"/>
            <w:tcBorders>
              <w:top w:val="single" w:sz="4" w:space="0" w:color="auto"/>
              <w:left w:val="single" w:sz="4" w:space="0" w:color="auto"/>
              <w:bottom w:val="single" w:sz="4" w:space="0" w:color="auto"/>
              <w:right w:val="single" w:sz="4" w:space="0" w:color="auto"/>
            </w:tcBorders>
          </w:tcPr>
          <w:p w14:paraId="07F80FFC" w14:textId="77777777" w:rsidR="00BE7F6D" w:rsidRPr="00080375" w:rsidRDefault="00BE7F6D" w:rsidP="00DB7830">
            <w:pPr>
              <w:pStyle w:val="BodyText"/>
              <w:rPr>
                <w:rFonts w:cs="Arial"/>
                <w:lang w:val="en-GB"/>
              </w:rPr>
            </w:pPr>
            <w:r>
              <w:rPr>
                <w:rFonts w:cs="Arial"/>
                <w:lang w:val="en-GB"/>
              </w:rPr>
              <w:t>03/04/2017</w:t>
            </w:r>
          </w:p>
        </w:tc>
        <w:tc>
          <w:tcPr>
            <w:tcW w:w="2520" w:type="dxa"/>
            <w:tcBorders>
              <w:top w:val="single" w:sz="4" w:space="0" w:color="auto"/>
              <w:left w:val="single" w:sz="4" w:space="0" w:color="auto"/>
              <w:bottom w:val="single" w:sz="4" w:space="0" w:color="auto"/>
              <w:right w:val="single" w:sz="4" w:space="0" w:color="auto"/>
            </w:tcBorders>
          </w:tcPr>
          <w:p w14:paraId="5289F02A" w14:textId="77777777" w:rsidR="00BE7F6D" w:rsidRPr="00080375" w:rsidRDefault="00BE7F6D" w:rsidP="00DB7830">
            <w:pPr>
              <w:pStyle w:val="BodyText"/>
              <w:rPr>
                <w:rFonts w:cs="Arial"/>
                <w:lang w:val="en-GB"/>
              </w:rPr>
            </w:pPr>
            <w:r>
              <w:rPr>
                <w:rFonts w:cs="Arial"/>
                <w:lang w:val="en-GB"/>
              </w:rPr>
              <w:t>Rebecca Healey</w:t>
            </w:r>
          </w:p>
        </w:tc>
        <w:tc>
          <w:tcPr>
            <w:tcW w:w="4410" w:type="dxa"/>
            <w:tcBorders>
              <w:top w:val="single" w:sz="4" w:space="0" w:color="auto"/>
              <w:left w:val="single" w:sz="4" w:space="0" w:color="auto"/>
              <w:bottom w:val="single" w:sz="4" w:space="0" w:color="auto"/>
              <w:right w:val="double" w:sz="4" w:space="0" w:color="auto"/>
            </w:tcBorders>
          </w:tcPr>
          <w:p w14:paraId="10CF6F40" w14:textId="77777777" w:rsidR="00BE7F6D" w:rsidRPr="00080375" w:rsidRDefault="00BE7F6D" w:rsidP="00DB7830">
            <w:pPr>
              <w:pStyle w:val="BodyText"/>
              <w:rPr>
                <w:rFonts w:cs="Arial"/>
                <w:lang w:val="en-GB"/>
              </w:rPr>
            </w:pPr>
            <w:r>
              <w:rPr>
                <w:rFonts w:cs="Arial"/>
                <w:lang w:val="en-GB"/>
              </w:rPr>
              <w:t>Updates to Revised Final Draft from members of the WG</w:t>
            </w:r>
          </w:p>
        </w:tc>
      </w:tr>
      <w:tr w:rsidR="00D40A7C" w:rsidRPr="00080375" w14:paraId="66B743EB" w14:textId="77777777" w:rsidTr="00D40A7C">
        <w:tc>
          <w:tcPr>
            <w:tcW w:w="1222" w:type="dxa"/>
            <w:tcBorders>
              <w:top w:val="single" w:sz="4" w:space="0" w:color="auto"/>
              <w:left w:val="double" w:sz="4" w:space="0" w:color="auto"/>
              <w:bottom w:val="single" w:sz="4" w:space="0" w:color="auto"/>
              <w:right w:val="single" w:sz="4" w:space="0" w:color="auto"/>
            </w:tcBorders>
          </w:tcPr>
          <w:p w14:paraId="3471A2F4" w14:textId="680C9C41" w:rsidR="00D40A7C" w:rsidRPr="00080375" w:rsidRDefault="00D40A7C" w:rsidP="00BE7F6D">
            <w:pPr>
              <w:pStyle w:val="BodyText"/>
              <w:rPr>
                <w:rFonts w:cs="Arial"/>
                <w:lang w:val="en-GB"/>
              </w:rPr>
            </w:pPr>
            <w:r>
              <w:rPr>
                <w:rFonts w:cs="Arial"/>
                <w:lang w:val="en-GB"/>
              </w:rPr>
              <w:lastRenderedPageBreak/>
              <w:t>0</w:t>
            </w:r>
            <w:r w:rsidR="00BE7F6D">
              <w:rPr>
                <w:rFonts w:cs="Arial"/>
                <w:lang w:val="en-GB"/>
              </w:rPr>
              <w:t>30</w:t>
            </w:r>
          </w:p>
        </w:tc>
        <w:tc>
          <w:tcPr>
            <w:tcW w:w="1440" w:type="dxa"/>
            <w:tcBorders>
              <w:top w:val="single" w:sz="4" w:space="0" w:color="auto"/>
              <w:left w:val="single" w:sz="4" w:space="0" w:color="auto"/>
              <w:bottom w:val="single" w:sz="4" w:space="0" w:color="auto"/>
              <w:right w:val="single" w:sz="4" w:space="0" w:color="auto"/>
            </w:tcBorders>
          </w:tcPr>
          <w:p w14:paraId="0685423C" w14:textId="374D2B93" w:rsidR="00D40A7C" w:rsidRPr="00080375" w:rsidRDefault="00784628" w:rsidP="00BE7F6D">
            <w:pPr>
              <w:pStyle w:val="BodyText"/>
              <w:rPr>
                <w:rFonts w:cs="Arial"/>
                <w:lang w:val="en-GB"/>
              </w:rPr>
            </w:pPr>
            <w:r>
              <w:rPr>
                <w:rFonts w:cs="Arial"/>
                <w:lang w:val="en-GB"/>
              </w:rPr>
              <w:t>0</w:t>
            </w:r>
            <w:r w:rsidR="00BE7F6D">
              <w:rPr>
                <w:rFonts w:cs="Arial"/>
                <w:lang w:val="en-GB"/>
              </w:rPr>
              <w:t>5</w:t>
            </w:r>
            <w:r>
              <w:rPr>
                <w:rFonts w:cs="Arial"/>
                <w:lang w:val="en-GB"/>
              </w:rPr>
              <w:t>/04</w:t>
            </w:r>
            <w:r w:rsidR="00D40A7C">
              <w:rPr>
                <w:rFonts w:cs="Arial"/>
                <w:lang w:val="en-GB"/>
              </w:rPr>
              <w:t>/2017</w:t>
            </w:r>
          </w:p>
        </w:tc>
        <w:tc>
          <w:tcPr>
            <w:tcW w:w="2520" w:type="dxa"/>
            <w:tcBorders>
              <w:top w:val="single" w:sz="4" w:space="0" w:color="auto"/>
              <w:left w:val="single" w:sz="4" w:space="0" w:color="auto"/>
              <w:bottom w:val="single" w:sz="4" w:space="0" w:color="auto"/>
              <w:right w:val="single" w:sz="4" w:space="0" w:color="auto"/>
            </w:tcBorders>
          </w:tcPr>
          <w:p w14:paraId="414AB83C" w14:textId="77777777" w:rsidR="00D40A7C" w:rsidRPr="00080375" w:rsidRDefault="00D40A7C" w:rsidP="00D40A7C">
            <w:pPr>
              <w:pStyle w:val="BodyText"/>
              <w:rPr>
                <w:rFonts w:cs="Arial"/>
                <w:lang w:val="en-GB"/>
              </w:rPr>
            </w:pPr>
            <w:r>
              <w:rPr>
                <w:rFonts w:cs="Arial"/>
                <w:lang w:val="en-GB"/>
              </w:rPr>
              <w:t>Rebecca Healey</w:t>
            </w:r>
          </w:p>
        </w:tc>
        <w:tc>
          <w:tcPr>
            <w:tcW w:w="4410" w:type="dxa"/>
            <w:tcBorders>
              <w:top w:val="single" w:sz="4" w:space="0" w:color="auto"/>
              <w:left w:val="single" w:sz="4" w:space="0" w:color="auto"/>
              <w:bottom w:val="single" w:sz="4" w:space="0" w:color="auto"/>
              <w:right w:val="double" w:sz="4" w:space="0" w:color="auto"/>
            </w:tcBorders>
          </w:tcPr>
          <w:p w14:paraId="6A8AB7BA" w14:textId="058E96F1" w:rsidR="00D40A7C" w:rsidRPr="00080375" w:rsidRDefault="00D40A7C" w:rsidP="00D40A7C">
            <w:pPr>
              <w:pStyle w:val="BodyText"/>
              <w:rPr>
                <w:rFonts w:cs="Arial"/>
                <w:lang w:val="en-GB"/>
              </w:rPr>
            </w:pPr>
            <w:r>
              <w:rPr>
                <w:rFonts w:cs="Arial"/>
                <w:lang w:val="en-GB"/>
              </w:rPr>
              <w:t xml:space="preserve">Updates to Revised Final Draft </w:t>
            </w:r>
            <w:r w:rsidR="00542A5C">
              <w:rPr>
                <w:rFonts w:cs="Arial"/>
                <w:lang w:val="en-GB"/>
              </w:rPr>
              <w:t>from members of the WG</w:t>
            </w:r>
            <w:r w:rsidR="00BE7F6D">
              <w:rPr>
                <w:rFonts w:cs="Arial"/>
                <w:lang w:val="en-GB"/>
              </w:rPr>
              <w:t>, incorporating ESMA Q&amp;A Guidance published 04/04/2017</w:t>
            </w:r>
          </w:p>
        </w:tc>
      </w:tr>
      <w:tr w:rsidR="00621516" w:rsidRPr="00080375" w14:paraId="4BF7B963" w14:textId="77777777" w:rsidTr="00D40A7C">
        <w:tc>
          <w:tcPr>
            <w:tcW w:w="1222" w:type="dxa"/>
            <w:tcBorders>
              <w:top w:val="single" w:sz="4" w:space="0" w:color="auto"/>
              <w:left w:val="double" w:sz="4" w:space="0" w:color="auto"/>
              <w:bottom w:val="single" w:sz="4" w:space="0" w:color="auto"/>
              <w:right w:val="single" w:sz="4" w:space="0" w:color="auto"/>
            </w:tcBorders>
          </w:tcPr>
          <w:p w14:paraId="6ED4186D" w14:textId="716ADDBA" w:rsidR="00621516" w:rsidRDefault="00621516" w:rsidP="00BE7F6D">
            <w:pPr>
              <w:pStyle w:val="BodyText"/>
              <w:rPr>
                <w:rFonts w:cs="Arial"/>
                <w:lang w:val="en-GB"/>
              </w:rPr>
            </w:pPr>
            <w:r>
              <w:rPr>
                <w:rFonts w:cs="Arial"/>
                <w:lang w:val="en-GB"/>
              </w:rPr>
              <w:t>031</w:t>
            </w:r>
          </w:p>
        </w:tc>
        <w:tc>
          <w:tcPr>
            <w:tcW w:w="1440" w:type="dxa"/>
            <w:tcBorders>
              <w:top w:val="single" w:sz="4" w:space="0" w:color="auto"/>
              <w:left w:val="single" w:sz="4" w:space="0" w:color="auto"/>
              <w:bottom w:val="single" w:sz="4" w:space="0" w:color="auto"/>
              <w:right w:val="single" w:sz="4" w:space="0" w:color="auto"/>
            </w:tcBorders>
          </w:tcPr>
          <w:p w14:paraId="59BA1059" w14:textId="28BC8CF5" w:rsidR="00621516" w:rsidRDefault="00621516" w:rsidP="00BE7F6D">
            <w:pPr>
              <w:pStyle w:val="BodyText"/>
              <w:rPr>
                <w:rFonts w:cs="Arial"/>
                <w:lang w:val="en-GB"/>
              </w:rPr>
            </w:pPr>
            <w:r>
              <w:rPr>
                <w:rFonts w:cs="Arial"/>
                <w:lang w:val="en-GB"/>
              </w:rPr>
              <w:t>26/6/2017</w:t>
            </w:r>
          </w:p>
        </w:tc>
        <w:tc>
          <w:tcPr>
            <w:tcW w:w="2520" w:type="dxa"/>
            <w:tcBorders>
              <w:top w:val="single" w:sz="4" w:space="0" w:color="auto"/>
              <w:left w:val="single" w:sz="4" w:space="0" w:color="auto"/>
              <w:bottom w:val="single" w:sz="4" w:space="0" w:color="auto"/>
              <w:right w:val="single" w:sz="4" w:space="0" w:color="auto"/>
            </w:tcBorders>
          </w:tcPr>
          <w:p w14:paraId="5211FED2" w14:textId="54450C75" w:rsidR="00621516" w:rsidRDefault="00621516" w:rsidP="00D40A7C">
            <w:pPr>
              <w:pStyle w:val="BodyText"/>
              <w:rPr>
                <w:rFonts w:cs="Arial"/>
                <w:lang w:val="en-GB"/>
              </w:rPr>
            </w:pPr>
            <w:r>
              <w:rPr>
                <w:rFonts w:cs="Arial"/>
                <w:lang w:val="en-GB"/>
              </w:rPr>
              <w:t>Silvan Stagni</w:t>
            </w:r>
          </w:p>
        </w:tc>
        <w:tc>
          <w:tcPr>
            <w:tcW w:w="4410" w:type="dxa"/>
            <w:tcBorders>
              <w:top w:val="single" w:sz="4" w:space="0" w:color="auto"/>
              <w:left w:val="single" w:sz="4" w:space="0" w:color="auto"/>
              <w:bottom w:val="single" w:sz="4" w:space="0" w:color="auto"/>
              <w:right w:val="double" w:sz="4" w:space="0" w:color="auto"/>
            </w:tcBorders>
          </w:tcPr>
          <w:p w14:paraId="1769ABFD" w14:textId="5BA47B6F" w:rsidR="00621516" w:rsidRDefault="00621516" w:rsidP="00D40A7C">
            <w:pPr>
              <w:pStyle w:val="BodyText"/>
              <w:rPr>
                <w:rFonts w:cs="Arial"/>
                <w:lang w:val="en-GB"/>
              </w:rPr>
            </w:pPr>
            <w:r>
              <w:rPr>
                <w:rFonts w:cs="Arial"/>
                <w:lang w:val="en-GB"/>
              </w:rPr>
              <w:t xml:space="preserve">Formatting of RTS 28 text and addition of text to 7.1 </w:t>
            </w:r>
          </w:p>
        </w:tc>
      </w:tr>
      <w:tr w:rsidR="00BA4C82" w:rsidRPr="00080375" w14:paraId="5728815B" w14:textId="77777777" w:rsidTr="00B67495">
        <w:tc>
          <w:tcPr>
            <w:tcW w:w="1222" w:type="dxa"/>
            <w:tcBorders>
              <w:top w:val="single" w:sz="4" w:space="0" w:color="auto"/>
              <w:left w:val="double" w:sz="4" w:space="0" w:color="auto"/>
              <w:bottom w:val="single" w:sz="4" w:space="0" w:color="auto"/>
              <w:right w:val="single" w:sz="4" w:space="0" w:color="auto"/>
            </w:tcBorders>
          </w:tcPr>
          <w:p w14:paraId="77AE882C" w14:textId="77777777" w:rsidR="00BA4C82" w:rsidRDefault="00BA4C82" w:rsidP="00B67495">
            <w:pPr>
              <w:pStyle w:val="BodyText"/>
              <w:rPr>
                <w:rFonts w:cs="Arial"/>
                <w:lang w:val="en-GB"/>
              </w:rPr>
            </w:pPr>
            <w:r>
              <w:rPr>
                <w:rFonts w:cs="Arial"/>
                <w:lang w:val="en-GB"/>
              </w:rPr>
              <w:t>032</w:t>
            </w:r>
          </w:p>
        </w:tc>
        <w:tc>
          <w:tcPr>
            <w:tcW w:w="1440" w:type="dxa"/>
            <w:tcBorders>
              <w:top w:val="single" w:sz="4" w:space="0" w:color="auto"/>
              <w:left w:val="single" w:sz="4" w:space="0" w:color="auto"/>
              <w:bottom w:val="single" w:sz="4" w:space="0" w:color="auto"/>
              <w:right w:val="single" w:sz="4" w:space="0" w:color="auto"/>
            </w:tcBorders>
          </w:tcPr>
          <w:p w14:paraId="7DAAE6B5" w14:textId="77777777" w:rsidR="00BA4C82" w:rsidRDefault="00BA4C82" w:rsidP="00B67495">
            <w:pPr>
              <w:pStyle w:val="BodyText"/>
              <w:rPr>
                <w:rFonts w:cs="Arial"/>
                <w:lang w:val="en-GB"/>
              </w:rPr>
            </w:pPr>
            <w:r>
              <w:rPr>
                <w:rFonts w:cs="Arial"/>
                <w:lang w:val="en-GB"/>
              </w:rPr>
              <w:t>06/9/2017</w:t>
            </w:r>
          </w:p>
        </w:tc>
        <w:tc>
          <w:tcPr>
            <w:tcW w:w="2520" w:type="dxa"/>
            <w:tcBorders>
              <w:top w:val="single" w:sz="4" w:space="0" w:color="auto"/>
              <w:left w:val="single" w:sz="4" w:space="0" w:color="auto"/>
              <w:bottom w:val="single" w:sz="4" w:space="0" w:color="auto"/>
              <w:right w:val="single" w:sz="4" w:space="0" w:color="auto"/>
            </w:tcBorders>
          </w:tcPr>
          <w:p w14:paraId="2061AF28" w14:textId="77777777" w:rsidR="00BA4C82" w:rsidRDefault="00BA4C82" w:rsidP="00B67495">
            <w:pPr>
              <w:pStyle w:val="BodyText"/>
              <w:rPr>
                <w:rFonts w:cs="Arial"/>
                <w:lang w:val="en-GB"/>
              </w:rPr>
            </w:pPr>
            <w:r>
              <w:rPr>
                <w:rFonts w:cs="Arial"/>
                <w:lang w:val="en-GB"/>
              </w:rPr>
              <w:t>Rebecca Healey</w:t>
            </w:r>
          </w:p>
        </w:tc>
        <w:tc>
          <w:tcPr>
            <w:tcW w:w="4410" w:type="dxa"/>
            <w:tcBorders>
              <w:top w:val="single" w:sz="4" w:space="0" w:color="auto"/>
              <w:left w:val="single" w:sz="4" w:space="0" w:color="auto"/>
              <w:bottom w:val="single" w:sz="4" w:space="0" w:color="auto"/>
              <w:right w:val="double" w:sz="4" w:space="0" w:color="auto"/>
            </w:tcBorders>
          </w:tcPr>
          <w:p w14:paraId="5E895FAE" w14:textId="77777777" w:rsidR="00BA4C82" w:rsidRDefault="00BA4C82" w:rsidP="00B67495">
            <w:pPr>
              <w:pStyle w:val="BodyText"/>
              <w:rPr>
                <w:rFonts w:cs="Arial"/>
                <w:lang w:val="en-GB"/>
              </w:rPr>
            </w:pPr>
            <w:r>
              <w:rPr>
                <w:rFonts w:cs="Arial"/>
                <w:lang w:val="en-GB"/>
              </w:rPr>
              <w:t>Updates to Revised Final Draft after feedback from other industry working groups and from EU regulators</w:t>
            </w:r>
          </w:p>
        </w:tc>
      </w:tr>
      <w:tr w:rsidR="00504CF0" w:rsidRPr="00080375" w14:paraId="5912E2AF" w14:textId="77777777" w:rsidTr="00504CF0">
        <w:tc>
          <w:tcPr>
            <w:tcW w:w="1222" w:type="dxa"/>
            <w:tcBorders>
              <w:top w:val="single" w:sz="4" w:space="0" w:color="auto"/>
              <w:left w:val="double" w:sz="4" w:space="0" w:color="auto"/>
              <w:bottom w:val="single" w:sz="4" w:space="0" w:color="auto"/>
              <w:right w:val="single" w:sz="4" w:space="0" w:color="auto"/>
            </w:tcBorders>
          </w:tcPr>
          <w:p w14:paraId="46CE2B41" w14:textId="502AED8C" w:rsidR="00504CF0" w:rsidRDefault="00504CF0" w:rsidP="004A0172">
            <w:pPr>
              <w:pStyle w:val="BodyText"/>
              <w:rPr>
                <w:rFonts w:cs="Arial"/>
                <w:lang w:val="en-GB"/>
              </w:rPr>
            </w:pPr>
            <w:r>
              <w:rPr>
                <w:rFonts w:cs="Arial"/>
                <w:lang w:val="en-GB"/>
              </w:rPr>
              <w:t>03</w:t>
            </w:r>
            <w:r w:rsidR="00BA4C82">
              <w:rPr>
                <w:rFonts w:cs="Arial"/>
                <w:lang w:val="en-GB"/>
              </w:rPr>
              <w:t>3</w:t>
            </w:r>
          </w:p>
        </w:tc>
        <w:tc>
          <w:tcPr>
            <w:tcW w:w="1440" w:type="dxa"/>
            <w:tcBorders>
              <w:top w:val="single" w:sz="4" w:space="0" w:color="auto"/>
              <w:left w:val="single" w:sz="4" w:space="0" w:color="auto"/>
              <w:bottom w:val="single" w:sz="4" w:space="0" w:color="auto"/>
              <w:right w:val="single" w:sz="4" w:space="0" w:color="auto"/>
            </w:tcBorders>
          </w:tcPr>
          <w:p w14:paraId="6E5E3327" w14:textId="63CCC141" w:rsidR="00504CF0" w:rsidRDefault="00BA4C82" w:rsidP="004A0172">
            <w:pPr>
              <w:pStyle w:val="BodyText"/>
              <w:rPr>
                <w:rFonts w:cs="Arial"/>
                <w:lang w:val="en-GB"/>
              </w:rPr>
            </w:pPr>
            <w:r>
              <w:rPr>
                <w:rFonts w:cs="Arial"/>
                <w:lang w:val="en-GB"/>
              </w:rPr>
              <w:t>25</w:t>
            </w:r>
            <w:r w:rsidR="00035962">
              <w:rPr>
                <w:rFonts w:cs="Arial"/>
                <w:lang w:val="en-GB"/>
              </w:rPr>
              <w:t>/9</w:t>
            </w:r>
            <w:r w:rsidR="00504CF0">
              <w:rPr>
                <w:rFonts w:cs="Arial"/>
                <w:lang w:val="en-GB"/>
              </w:rPr>
              <w:t>/2017</w:t>
            </w:r>
          </w:p>
        </w:tc>
        <w:tc>
          <w:tcPr>
            <w:tcW w:w="2520" w:type="dxa"/>
            <w:tcBorders>
              <w:top w:val="single" w:sz="4" w:space="0" w:color="auto"/>
              <w:left w:val="single" w:sz="4" w:space="0" w:color="auto"/>
              <w:bottom w:val="single" w:sz="4" w:space="0" w:color="auto"/>
              <w:right w:val="single" w:sz="4" w:space="0" w:color="auto"/>
            </w:tcBorders>
          </w:tcPr>
          <w:p w14:paraId="2EDD5781" w14:textId="6D65A0A7" w:rsidR="00504CF0" w:rsidRDefault="00504CF0" w:rsidP="004A0172">
            <w:pPr>
              <w:pStyle w:val="BodyText"/>
              <w:rPr>
                <w:rFonts w:cs="Arial"/>
                <w:lang w:val="en-GB"/>
              </w:rPr>
            </w:pPr>
            <w:r>
              <w:rPr>
                <w:rFonts w:cs="Arial"/>
                <w:lang w:val="en-GB"/>
              </w:rPr>
              <w:t>Rebecca Healey</w:t>
            </w:r>
          </w:p>
        </w:tc>
        <w:tc>
          <w:tcPr>
            <w:tcW w:w="4410" w:type="dxa"/>
            <w:tcBorders>
              <w:top w:val="single" w:sz="4" w:space="0" w:color="auto"/>
              <w:left w:val="single" w:sz="4" w:space="0" w:color="auto"/>
              <w:bottom w:val="single" w:sz="4" w:space="0" w:color="auto"/>
              <w:right w:val="double" w:sz="4" w:space="0" w:color="auto"/>
            </w:tcBorders>
          </w:tcPr>
          <w:p w14:paraId="7C72BEE9" w14:textId="77D2B93C" w:rsidR="00504CF0" w:rsidRDefault="00504CF0" w:rsidP="00BA4C82">
            <w:pPr>
              <w:pStyle w:val="BodyText"/>
              <w:rPr>
                <w:rFonts w:cs="Arial"/>
                <w:lang w:val="en-GB"/>
              </w:rPr>
            </w:pPr>
            <w:r>
              <w:rPr>
                <w:rFonts w:cs="Arial"/>
                <w:lang w:val="en-GB"/>
              </w:rPr>
              <w:t>Updates to Revised Final Draft after</w:t>
            </w:r>
            <w:r w:rsidR="00BA4C82">
              <w:rPr>
                <w:rFonts w:cs="Arial"/>
                <w:lang w:val="en-GB"/>
              </w:rPr>
              <w:t xml:space="preserve"> further</w:t>
            </w:r>
            <w:r>
              <w:rPr>
                <w:rFonts w:cs="Arial"/>
                <w:lang w:val="en-GB"/>
              </w:rPr>
              <w:t xml:space="preserve"> feedback from EU regulators</w:t>
            </w:r>
          </w:p>
        </w:tc>
      </w:tr>
      <w:tr w:rsidR="00C21565" w:rsidRPr="00080375" w14:paraId="3B85CD72" w14:textId="77777777" w:rsidTr="00504CF0">
        <w:tc>
          <w:tcPr>
            <w:tcW w:w="1222" w:type="dxa"/>
            <w:tcBorders>
              <w:top w:val="single" w:sz="4" w:space="0" w:color="auto"/>
              <w:left w:val="double" w:sz="4" w:space="0" w:color="auto"/>
              <w:bottom w:val="single" w:sz="4" w:space="0" w:color="auto"/>
              <w:right w:val="single" w:sz="4" w:space="0" w:color="auto"/>
            </w:tcBorders>
          </w:tcPr>
          <w:p w14:paraId="45C58D12" w14:textId="3FF76E14" w:rsidR="00C21565" w:rsidRDefault="00C21565" w:rsidP="004A0172">
            <w:pPr>
              <w:pStyle w:val="BodyText"/>
              <w:rPr>
                <w:rFonts w:cs="Arial"/>
                <w:lang w:val="en-GB"/>
              </w:rPr>
            </w:pPr>
            <w:r>
              <w:rPr>
                <w:rFonts w:cs="Arial"/>
                <w:lang w:val="en-GB"/>
              </w:rPr>
              <w:t>03</w:t>
            </w:r>
            <w:r w:rsidR="00A52F9F">
              <w:rPr>
                <w:rFonts w:cs="Arial"/>
                <w:lang w:val="en-GB"/>
              </w:rPr>
              <w:t>5</w:t>
            </w:r>
          </w:p>
        </w:tc>
        <w:tc>
          <w:tcPr>
            <w:tcW w:w="1440" w:type="dxa"/>
            <w:tcBorders>
              <w:top w:val="single" w:sz="4" w:space="0" w:color="auto"/>
              <w:left w:val="single" w:sz="4" w:space="0" w:color="auto"/>
              <w:bottom w:val="single" w:sz="4" w:space="0" w:color="auto"/>
              <w:right w:val="single" w:sz="4" w:space="0" w:color="auto"/>
            </w:tcBorders>
          </w:tcPr>
          <w:p w14:paraId="46C1B92A" w14:textId="624332E5" w:rsidR="00C21565" w:rsidRDefault="00C21565" w:rsidP="004A0172">
            <w:pPr>
              <w:pStyle w:val="BodyText"/>
              <w:rPr>
                <w:rFonts w:cs="Arial"/>
                <w:lang w:val="en-GB"/>
              </w:rPr>
            </w:pPr>
            <w:r>
              <w:rPr>
                <w:rFonts w:cs="Arial"/>
                <w:lang w:val="en-GB"/>
              </w:rPr>
              <w:t>12/10/2017</w:t>
            </w:r>
          </w:p>
        </w:tc>
        <w:tc>
          <w:tcPr>
            <w:tcW w:w="2520" w:type="dxa"/>
            <w:tcBorders>
              <w:top w:val="single" w:sz="4" w:space="0" w:color="auto"/>
              <w:left w:val="single" w:sz="4" w:space="0" w:color="auto"/>
              <w:bottom w:val="single" w:sz="4" w:space="0" w:color="auto"/>
              <w:right w:val="single" w:sz="4" w:space="0" w:color="auto"/>
            </w:tcBorders>
          </w:tcPr>
          <w:p w14:paraId="10E960FE" w14:textId="47046D75" w:rsidR="00C21565" w:rsidRDefault="00C21565" w:rsidP="004A0172">
            <w:pPr>
              <w:pStyle w:val="BodyText"/>
              <w:rPr>
                <w:rFonts w:cs="Arial"/>
                <w:lang w:val="en-GB"/>
              </w:rPr>
            </w:pPr>
            <w:r>
              <w:rPr>
                <w:rFonts w:cs="Arial"/>
                <w:lang w:val="en-GB"/>
              </w:rPr>
              <w:t>Alex Wolcough</w:t>
            </w:r>
          </w:p>
        </w:tc>
        <w:tc>
          <w:tcPr>
            <w:tcW w:w="4410" w:type="dxa"/>
            <w:tcBorders>
              <w:top w:val="single" w:sz="4" w:space="0" w:color="auto"/>
              <w:left w:val="single" w:sz="4" w:space="0" w:color="auto"/>
              <w:bottom w:val="single" w:sz="4" w:space="0" w:color="auto"/>
              <w:right w:val="double" w:sz="4" w:space="0" w:color="auto"/>
            </w:tcBorders>
          </w:tcPr>
          <w:p w14:paraId="643AB6DB" w14:textId="187C5FC8" w:rsidR="00C21565" w:rsidRDefault="00C21565" w:rsidP="00BA4C82">
            <w:pPr>
              <w:pStyle w:val="BodyText"/>
              <w:rPr>
                <w:rFonts w:cs="Arial"/>
                <w:lang w:val="en-GB"/>
              </w:rPr>
            </w:pPr>
            <w:r>
              <w:rPr>
                <w:rFonts w:cs="Arial"/>
                <w:lang w:val="en-GB"/>
              </w:rPr>
              <w:t>Correction to workflow diagrams</w:t>
            </w:r>
            <w:r w:rsidR="00A52F9F">
              <w:rPr>
                <w:rFonts w:cs="Arial"/>
                <w:lang w:val="en-GB"/>
              </w:rPr>
              <w:t xml:space="preserve"> for DEA</w:t>
            </w:r>
          </w:p>
        </w:tc>
      </w:tr>
    </w:tbl>
    <w:p w14:paraId="40ED4FEF" w14:textId="77777777" w:rsidR="004F20B7" w:rsidRPr="00080375" w:rsidRDefault="004C5FAF" w:rsidP="00995AAB">
      <w:pPr>
        <w:pBdr>
          <w:top w:val="double" w:sz="4" w:space="1" w:color="008000"/>
          <w:left w:val="double" w:sz="4" w:space="0" w:color="008000"/>
          <w:bottom w:val="double" w:sz="4" w:space="1" w:color="008000"/>
          <w:right w:val="double" w:sz="4" w:space="10" w:color="008000"/>
        </w:pBdr>
        <w:rPr>
          <w:rFonts w:cs="Arial"/>
          <w:vanish/>
          <w:color w:val="008000"/>
          <w:szCs w:val="20"/>
          <w:lang w:val="en-GB"/>
        </w:rPr>
      </w:pPr>
      <w:r w:rsidRPr="00080375">
        <w:rPr>
          <w:rFonts w:cs="Arial"/>
          <w:vanish/>
          <w:color w:val="008000"/>
          <w:szCs w:val="20"/>
          <w:lang w:val="en-GB"/>
        </w:rPr>
        <w:t>The above</w:t>
      </w:r>
      <w:r w:rsidR="00E90785" w:rsidRPr="00080375">
        <w:rPr>
          <w:rFonts w:cs="Arial"/>
          <w:vanish/>
          <w:color w:val="008000"/>
          <w:szCs w:val="20"/>
          <w:lang w:val="en-GB"/>
        </w:rPr>
        <w:t xml:space="preserve"> document history </w:t>
      </w:r>
      <w:r w:rsidR="00D1601F" w:rsidRPr="00080375">
        <w:rPr>
          <w:rFonts w:cs="Arial"/>
          <w:vanish/>
          <w:color w:val="008000"/>
          <w:szCs w:val="20"/>
          <w:lang w:val="en-GB"/>
        </w:rPr>
        <w:t>section, including date, author, and comments,</w:t>
      </w:r>
      <w:r w:rsidR="00E90785" w:rsidRPr="00080375">
        <w:rPr>
          <w:rFonts w:cs="Arial"/>
          <w:vanish/>
          <w:color w:val="008000"/>
          <w:szCs w:val="20"/>
          <w:lang w:val="en-GB"/>
        </w:rPr>
        <w:t xml:space="preserve"> is required to track editing changes to the document.</w:t>
      </w:r>
      <w:r w:rsidR="00BF2B75" w:rsidRPr="00080375">
        <w:rPr>
          <w:rFonts w:cs="Arial"/>
          <w:vanish/>
          <w:color w:val="008000"/>
          <w:szCs w:val="20"/>
          <w:lang w:val="en-GB"/>
        </w:rPr>
        <w:t xml:space="preserve">  </w:t>
      </w:r>
      <w:r w:rsidR="00D1601F" w:rsidRPr="00080375">
        <w:rPr>
          <w:rFonts w:cs="Arial"/>
          <w:vanish/>
          <w:color w:val="008000"/>
          <w:szCs w:val="20"/>
          <w:lang w:val="en-GB"/>
        </w:rPr>
        <w:t xml:space="preserve">List </w:t>
      </w:r>
      <w:r w:rsidR="0031072B" w:rsidRPr="00080375">
        <w:rPr>
          <w:rFonts w:cs="Arial"/>
          <w:vanish/>
          <w:color w:val="008000"/>
          <w:szCs w:val="20"/>
          <w:lang w:val="en-GB"/>
        </w:rPr>
        <w:t xml:space="preserve">revisions in </w:t>
      </w:r>
      <w:r w:rsidR="0031072B" w:rsidRPr="00080375">
        <w:rPr>
          <w:rFonts w:cs="Arial"/>
          <w:b/>
          <w:vanish/>
          <w:color w:val="008000"/>
          <w:szCs w:val="20"/>
          <w:lang w:val="en-GB"/>
        </w:rPr>
        <w:t>ascending order</w:t>
      </w:r>
      <w:r w:rsidR="0031072B" w:rsidRPr="00080375">
        <w:rPr>
          <w:rFonts w:cs="Arial"/>
          <w:vanish/>
          <w:color w:val="008000"/>
          <w:szCs w:val="20"/>
          <w:lang w:val="en-GB"/>
        </w:rPr>
        <w:t>.</w:t>
      </w:r>
      <w:r w:rsidR="00DD44E0" w:rsidRPr="00080375">
        <w:rPr>
          <w:rFonts w:cs="Arial"/>
          <w:vanish/>
          <w:color w:val="008000"/>
          <w:szCs w:val="20"/>
          <w:lang w:val="en-GB"/>
        </w:rPr>
        <w:t xml:space="preserve">  </w:t>
      </w:r>
      <w:r w:rsidR="00D1601F" w:rsidRPr="00080375">
        <w:rPr>
          <w:rFonts w:cs="Arial"/>
          <w:vanish/>
          <w:color w:val="008000"/>
          <w:szCs w:val="20"/>
          <w:lang w:val="en-GB"/>
        </w:rPr>
        <w:t>Please insert additional</w:t>
      </w:r>
      <w:r w:rsidR="00DD44E0" w:rsidRPr="00080375">
        <w:rPr>
          <w:rFonts w:cs="Arial"/>
          <w:vanish/>
          <w:color w:val="008000"/>
          <w:szCs w:val="20"/>
          <w:lang w:val="en-GB"/>
        </w:rPr>
        <w:t xml:space="preserve"> rows </w:t>
      </w:r>
      <w:r w:rsidRPr="00080375">
        <w:rPr>
          <w:rFonts w:cs="Arial"/>
          <w:vanish/>
          <w:color w:val="008000"/>
          <w:szCs w:val="20"/>
          <w:lang w:val="en-GB"/>
        </w:rPr>
        <w:t xml:space="preserve">in the table </w:t>
      </w:r>
      <w:r w:rsidR="00DD44E0" w:rsidRPr="00080375">
        <w:rPr>
          <w:rFonts w:cs="Arial"/>
          <w:vanish/>
          <w:color w:val="008000"/>
          <w:szCs w:val="20"/>
          <w:lang w:val="en-GB"/>
        </w:rPr>
        <w:t>a</w:t>
      </w:r>
      <w:r w:rsidR="00D1601F" w:rsidRPr="00080375">
        <w:rPr>
          <w:rFonts w:cs="Arial"/>
          <w:vanish/>
          <w:color w:val="008000"/>
          <w:szCs w:val="20"/>
          <w:lang w:val="en-GB"/>
        </w:rPr>
        <w:t>s</w:t>
      </w:r>
      <w:r w:rsidR="00DD44E0" w:rsidRPr="00080375">
        <w:rPr>
          <w:rFonts w:cs="Arial"/>
          <w:vanish/>
          <w:color w:val="008000"/>
          <w:szCs w:val="20"/>
          <w:lang w:val="en-GB"/>
        </w:rPr>
        <w:t xml:space="preserve"> needed.</w:t>
      </w:r>
    </w:p>
    <w:p w14:paraId="6B205113" w14:textId="77777777" w:rsidR="004F20B7" w:rsidRPr="00080375" w:rsidRDefault="004F20B7" w:rsidP="00995AAB">
      <w:pPr>
        <w:pBdr>
          <w:top w:val="double" w:sz="4" w:space="1" w:color="008000"/>
          <w:left w:val="double" w:sz="4" w:space="0" w:color="008000"/>
          <w:bottom w:val="double" w:sz="4" w:space="1" w:color="008000"/>
          <w:right w:val="double" w:sz="4" w:space="10" w:color="008000"/>
        </w:pBdr>
        <w:rPr>
          <w:rFonts w:cs="Arial"/>
          <w:vanish/>
          <w:color w:val="008000"/>
          <w:szCs w:val="20"/>
          <w:lang w:val="en-GB"/>
        </w:rPr>
      </w:pPr>
    </w:p>
    <w:p w14:paraId="51D32A28" w14:textId="77777777" w:rsidR="004F20B7" w:rsidRPr="00080375" w:rsidRDefault="004F20B7" w:rsidP="00995AAB">
      <w:pPr>
        <w:pBdr>
          <w:top w:val="double" w:sz="4" w:space="1" w:color="008000"/>
          <w:left w:val="double" w:sz="4" w:space="0" w:color="008000"/>
          <w:bottom w:val="double" w:sz="4" w:space="1" w:color="008000"/>
          <w:right w:val="double" w:sz="4" w:space="10" w:color="008000"/>
        </w:pBdr>
        <w:rPr>
          <w:rFonts w:cs="Arial"/>
          <w:vanish/>
          <w:color w:val="008000"/>
          <w:szCs w:val="20"/>
          <w:lang w:val="en-GB"/>
        </w:rPr>
      </w:pPr>
      <w:r w:rsidRPr="00080375">
        <w:rPr>
          <w:rFonts w:cs="Arial"/>
          <w:vanish/>
          <w:color w:val="008000"/>
          <w:szCs w:val="20"/>
          <w:lang w:val="en-GB"/>
        </w:rPr>
        <w:t>Template version information:</w:t>
      </w:r>
    </w:p>
    <w:p w14:paraId="2D051BDF" w14:textId="77777777" w:rsidR="004F20B7" w:rsidRPr="00080375" w:rsidRDefault="00A90838" w:rsidP="00995AAB">
      <w:pPr>
        <w:pBdr>
          <w:top w:val="double" w:sz="4" w:space="1" w:color="008000"/>
          <w:left w:val="double" w:sz="4" w:space="0" w:color="008000"/>
          <w:bottom w:val="double" w:sz="4" w:space="1" w:color="008000"/>
          <w:right w:val="double" w:sz="4" w:space="10" w:color="008000"/>
        </w:pBdr>
        <w:rPr>
          <w:rFonts w:cs="Arial"/>
          <w:vanish/>
          <w:color w:val="008000"/>
          <w:szCs w:val="20"/>
          <w:lang w:val="en-GB"/>
        </w:rPr>
      </w:pPr>
      <w:r w:rsidRPr="00080375">
        <w:rPr>
          <w:rFonts w:cs="Arial"/>
          <w:vanish/>
          <w:color w:val="008000"/>
          <w:szCs w:val="20"/>
          <w:lang w:val="en-GB"/>
        </w:rPr>
        <w:t xml:space="preserve">r2:  </w:t>
      </w:r>
      <w:r w:rsidR="004F20B7" w:rsidRPr="00080375">
        <w:rPr>
          <w:rFonts w:cs="Arial"/>
          <w:vanish/>
          <w:color w:val="008000"/>
          <w:szCs w:val="20"/>
          <w:lang w:val="en-GB"/>
        </w:rPr>
        <w:t xml:space="preserve">2010-11-13 Revised to support </w:t>
      </w:r>
      <w:r w:rsidR="00D84744" w:rsidRPr="00080375">
        <w:rPr>
          <w:rFonts w:cs="Arial"/>
          <w:vanish/>
          <w:color w:val="008000"/>
          <w:szCs w:val="20"/>
          <w:lang w:val="en-GB"/>
        </w:rPr>
        <w:t>abbreviations, inlined component references</w:t>
      </w:r>
    </w:p>
    <w:p w14:paraId="380AFD99" w14:textId="77777777" w:rsidR="007E0AE4" w:rsidRPr="00080375" w:rsidRDefault="007E0AE4" w:rsidP="00995AAB">
      <w:pPr>
        <w:pBdr>
          <w:top w:val="double" w:sz="4" w:space="1" w:color="008000"/>
          <w:left w:val="double" w:sz="4" w:space="0" w:color="008000"/>
          <w:bottom w:val="double" w:sz="4" w:space="1" w:color="008000"/>
          <w:right w:val="double" w:sz="4" w:space="10" w:color="008000"/>
        </w:pBdr>
        <w:rPr>
          <w:rFonts w:cs="Arial"/>
          <w:vanish/>
          <w:color w:val="008000"/>
          <w:szCs w:val="20"/>
          <w:lang w:val="en-GB"/>
        </w:rPr>
      </w:pPr>
      <w:r w:rsidRPr="00080375">
        <w:rPr>
          <w:rFonts w:cs="Arial"/>
          <w:vanish/>
          <w:color w:val="008000"/>
          <w:szCs w:val="20"/>
          <w:lang w:val="en-GB"/>
        </w:rPr>
        <w:t>r2.1:  2011-10-01 Revised to add usage clarification</w:t>
      </w:r>
    </w:p>
    <w:p w14:paraId="18AFAA48" w14:textId="77777777" w:rsidR="008E0EC9" w:rsidRPr="00072AB6" w:rsidRDefault="008E0EC9">
      <w:pPr>
        <w:rPr>
          <w:lang w:val="en-GB"/>
        </w:rPr>
      </w:pPr>
      <w:r w:rsidRPr="00080375">
        <w:rPr>
          <w:lang w:val="en-GB"/>
        </w:rPr>
        <w:br w:type="page"/>
      </w:r>
    </w:p>
    <w:p w14:paraId="26243B83" w14:textId="77777777" w:rsidR="00B42EA7" w:rsidRPr="00080375" w:rsidRDefault="00ED5843" w:rsidP="00B42EA7">
      <w:pPr>
        <w:pStyle w:val="Heading1"/>
        <w:numPr>
          <w:ilvl w:val="0"/>
          <w:numId w:val="0"/>
        </w:numPr>
        <w:ind w:left="432" w:hanging="432"/>
        <w:rPr>
          <w:lang w:val="en-GB"/>
        </w:rPr>
      </w:pPr>
      <w:bookmarkStart w:id="9" w:name="_Toc495562546"/>
      <w:r w:rsidRPr="00080375">
        <w:rPr>
          <w:lang w:val="en-GB"/>
        </w:rPr>
        <w:lastRenderedPageBreak/>
        <w:t>D</w:t>
      </w:r>
      <w:r w:rsidR="00B42EA7" w:rsidRPr="00080375">
        <w:rPr>
          <w:lang w:val="en-GB"/>
        </w:rPr>
        <w:t>efinitions</w:t>
      </w:r>
      <w:bookmarkEnd w:id="9"/>
    </w:p>
    <w:p w14:paraId="570BE2A3" w14:textId="77777777" w:rsidR="00B42EA7" w:rsidRPr="00080375" w:rsidRDefault="00B42EA7" w:rsidP="00B42EA7">
      <w:pPr>
        <w:rPr>
          <w:lang w:val="en-GB"/>
        </w:rPr>
      </w:pPr>
    </w:p>
    <w:tbl>
      <w:tblPr>
        <w:tblW w:w="9640" w:type="dxa"/>
        <w:tblInd w:w="-3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3828"/>
        <w:gridCol w:w="1843"/>
        <w:gridCol w:w="3969"/>
      </w:tblGrid>
      <w:tr w:rsidR="00B97219" w:rsidRPr="00080375" w14:paraId="1FCC5600" w14:textId="77777777" w:rsidTr="00B97219">
        <w:trPr>
          <w:tblHeader/>
        </w:trPr>
        <w:tc>
          <w:tcPr>
            <w:tcW w:w="3828" w:type="dxa"/>
            <w:tcBorders>
              <w:top w:val="double" w:sz="4" w:space="0" w:color="auto"/>
              <w:bottom w:val="double" w:sz="4" w:space="0" w:color="auto"/>
            </w:tcBorders>
            <w:vAlign w:val="center"/>
          </w:tcPr>
          <w:p w14:paraId="7E025D14" w14:textId="77777777" w:rsidR="00B42EA7" w:rsidRPr="00080375" w:rsidRDefault="00B97219" w:rsidP="00B97219">
            <w:pPr>
              <w:pStyle w:val="BodyText"/>
              <w:rPr>
                <w:rFonts w:cs="Arial"/>
                <w:b/>
                <w:lang w:val="en-GB"/>
              </w:rPr>
            </w:pPr>
            <w:r w:rsidRPr="00080375">
              <w:rPr>
                <w:rFonts w:cs="Arial"/>
                <w:b/>
                <w:lang w:val="en-GB"/>
              </w:rPr>
              <w:t>Item</w:t>
            </w:r>
          </w:p>
        </w:tc>
        <w:tc>
          <w:tcPr>
            <w:tcW w:w="1843" w:type="dxa"/>
            <w:tcBorders>
              <w:top w:val="double" w:sz="4" w:space="0" w:color="auto"/>
              <w:bottom w:val="double" w:sz="4" w:space="0" w:color="auto"/>
            </w:tcBorders>
            <w:vAlign w:val="center"/>
          </w:tcPr>
          <w:p w14:paraId="3BB9CE9D" w14:textId="77777777" w:rsidR="00B42EA7" w:rsidRPr="00080375" w:rsidRDefault="00B42EA7" w:rsidP="00B97219">
            <w:pPr>
              <w:pStyle w:val="BodyText"/>
              <w:rPr>
                <w:rFonts w:cs="Arial"/>
                <w:b/>
                <w:lang w:val="en-GB"/>
              </w:rPr>
            </w:pPr>
            <w:r w:rsidRPr="00080375">
              <w:rPr>
                <w:rFonts w:cs="Arial"/>
                <w:b/>
                <w:lang w:val="en-GB"/>
              </w:rPr>
              <w:t>Reference</w:t>
            </w:r>
          </w:p>
        </w:tc>
        <w:tc>
          <w:tcPr>
            <w:tcW w:w="3969" w:type="dxa"/>
            <w:tcBorders>
              <w:top w:val="double" w:sz="4" w:space="0" w:color="auto"/>
              <w:bottom w:val="double" w:sz="4" w:space="0" w:color="auto"/>
            </w:tcBorders>
            <w:vAlign w:val="center"/>
          </w:tcPr>
          <w:p w14:paraId="62382ABC" w14:textId="77777777" w:rsidR="00B42EA7" w:rsidRPr="00080375" w:rsidRDefault="00B42EA7" w:rsidP="00B97219">
            <w:pPr>
              <w:pStyle w:val="BodyText"/>
              <w:rPr>
                <w:rFonts w:cs="Arial"/>
                <w:b/>
                <w:lang w:val="en-GB"/>
              </w:rPr>
            </w:pPr>
            <w:r w:rsidRPr="00080375">
              <w:rPr>
                <w:rFonts w:cs="Arial"/>
                <w:b/>
                <w:lang w:val="en-GB"/>
              </w:rPr>
              <w:t>Definition</w:t>
            </w:r>
          </w:p>
        </w:tc>
      </w:tr>
      <w:tr w:rsidR="00B97219" w:rsidRPr="00080375" w14:paraId="182900B9" w14:textId="77777777" w:rsidTr="00B97219">
        <w:tc>
          <w:tcPr>
            <w:tcW w:w="3828" w:type="dxa"/>
            <w:tcBorders>
              <w:top w:val="nil"/>
            </w:tcBorders>
            <w:vAlign w:val="center"/>
          </w:tcPr>
          <w:p w14:paraId="7D0C0075" w14:textId="77777777" w:rsidR="00B42EA7" w:rsidRPr="00080375" w:rsidRDefault="00B97219" w:rsidP="00B97219">
            <w:pPr>
              <w:pStyle w:val="BodyText"/>
              <w:rPr>
                <w:rFonts w:cs="Arial"/>
                <w:lang w:val="en-GB"/>
              </w:rPr>
            </w:pPr>
            <w:r w:rsidRPr="00080375">
              <w:rPr>
                <w:rFonts w:cs="Arial"/>
                <w:b/>
                <w:bCs/>
                <w:lang w:val="en-GB"/>
              </w:rPr>
              <w:t>Execution Venue</w:t>
            </w:r>
          </w:p>
        </w:tc>
        <w:tc>
          <w:tcPr>
            <w:tcW w:w="1843" w:type="dxa"/>
            <w:tcBorders>
              <w:top w:val="nil"/>
            </w:tcBorders>
            <w:vAlign w:val="center"/>
          </w:tcPr>
          <w:p w14:paraId="507A8D20" w14:textId="77777777" w:rsidR="00B42EA7" w:rsidRPr="00080375" w:rsidRDefault="00B97219" w:rsidP="00B97219">
            <w:pPr>
              <w:pStyle w:val="BodyText"/>
              <w:rPr>
                <w:rFonts w:cs="Arial"/>
                <w:lang w:val="en-GB"/>
              </w:rPr>
            </w:pPr>
            <w:r w:rsidRPr="00080375">
              <w:rPr>
                <w:rFonts w:cs="Arial"/>
                <w:lang w:val="en-GB"/>
              </w:rPr>
              <w:t>RTS 27 Recital 2</w:t>
            </w:r>
          </w:p>
        </w:tc>
        <w:tc>
          <w:tcPr>
            <w:tcW w:w="3969" w:type="dxa"/>
            <w:tcBorders>
              <w:top w:val="nil"/>
            </w:tcBorders>
            <w:vAlign w:val="center"/>
          </w:tcPr>
          <w:p w14:paraId="0884F1F3" w14:textId="77777777" w:rsidR="00B42EA7" w:rsidRPr="004D6D69" w:rsidRDefault="002A3076" w:rsidP="00B97219">
            <w:pPr>
              <w:pStyle w:val="BodyText"/>
              <w:rPr>
                <w:rFonts w:cs="Arial"/>
                <w:lang w:val="en-GB"/>
              </w:rPr>
            </w:pPr>
            <w:r w:rsidRPr="004D6D69">
              <w:rPr>
                <w:rFonts w:cs="Arial"/>
                <w:lang w:val="en-GB"/>
              </w:rPr>
              <w:t>E</w:t>
            </w:r>
            <w:r w:rsidR="00B97219" w:rsidRPr="004D6D69">
              <w:rPr>
                <w:rFonts w:cs="Arial"/>
                <w:lang w:val="en-GB"/>
              </w:rPr>
              <w:t>xecution venues should include regulated markets, multilateral trading facilities, organised trading facilities, systematic internalisers, market makers and other liquidity providers.</w:t>
            </w:r>
          </w:p>
          <w:p w14:paraId="5A4D1FEA" w14:textId="77777777" w:rsidR="004D6D69" w:rsidRPr="00FF5C88" w:rsidRDefault="002A3076" w:rsidP="00F842B7">
            <w:pPr>
              <w:rPr>
                <w:iCs/>
              </w:rPr>
            </w:pPr>
            <w:r w:rsidRPr="00FF5C88">
              <w:rPr>
                <w:rFonts w:cs="Arial"/>
                <w:szCs w:val="20"/>
              </w:rPr>
              <w:t>For instruments subject to the trading obligation (incls equity shares) -</w:t>
            </w:r>
            <w:r w:rsidR="008955DC" w:rsidRPr="00FF5C88">
              <w:rPr>
                <w:rFonts w:cs="Arial"/>
                <w:szCs w:val="20"/>
              </w:rPr>
              <w:t xml:space="preserve"> </w:t>
            </w:r>
            <w:r w:rsidR="004D6D69" w:rsidRPr="00FF5C88">
              <w:rPr>
                <w:iCs/>
              </w:rPr>
              <w:t>RM, MTF, SI and OTF (for just non-equity) will be required to publish the RTS 27 report.</w:t>
            </w:r>
          </w:p>
          <w:p w14:paraId="157C8A7B" w14:textId="77777777" w:rsidR="00F9602D" w:rsidRPr="004D6D69" w:rsidRDefault="00F9602D" w:rsidP="00F842B7">
            <w:pPr>
              <w:rPr>
                <w:rFonts w:cs="Arial"/>
                <w:color w:val="1F497D"/>
                <w:szCs w:val="20"/>
              </w:rPr>
            </w:pPr>
          </w:p>
          <w:p w14:paraId="6BB19EE1" w14:textId="77777777" w:rsidR="002A3076" w:rsidRPr="004D6D69" w:rsidRDefault="002A3076" w:rsidP="002A3076">
            <w:pPr>
              <w:pStyle w:val="BodyText"/>
              <w:rPr>
                <w:rFonts w:cs="Arial"/>
                <w:lang w:val="en-GB"/>
              </w:rPr>
            </w:pPr>
            <w:r w:rsidRPr="004D6D69">
              <w:rPr>
                <w:rFonts w:cs="Arial"/>
                <w:color w:val="1F497D"/>
                <w:szCs w:val="20"/>
              </w:rPr>
              <w:t>For instruments not subject to the trading obligation - RM, MTF, SI, OTF, market makers and other liquidity providers are required to publish the report.</w:t>
            </w:r>
          </w:p>
        </w:tc>
      </w:tr>
      <w:tr w:rsidR="00B97219" w:rsidRPr="00080375" w14:paraId="1DD5EDC0" w14:textId="77777777" w:rsidTr="00B97219">
        <w:tc>
          <w:tcPr>
            <w:tcW w:w="3828" w:type="dxa"/>
            <w:vAlign w:val="center"/>
          </w:tcPr>
          <w:p w14:paraId="780D6ABB" w14:textId="77777777" w:rsidR="00B42EA7" w:rsidRPr="00080375" w:rsidRDefault="00B97219" w:rsidP="00B97219">
            <w:pPr>
              <w:pStyle w:val="BodyText"/>
              <w:rPr>
                <w:rFonts w:cs="Arial"/>
                <w:b/>
                <w:lang w:val="en-GB"/>
              </w:rPr>
            </w:pPr>
            <w:r w:rsidRPr="00080375">
              <w:rPr>
                <w:rFonts w:cs="Arial"/>
                <w:b/>
                <w:lang w:val="en-GB"/>
              </w:rPr>
              <w:t>Trading System</w:t>
            </w:r>
          </w:p>
        </w:tc>
        <w:tc>
          <w:tcPr>
            <w:tcW w:w="1843" w:type="dxa"/>
            <w:vAlign w:val="center"/>
          </w:tcPr>
          <w:p w14:paraId="35C48A9C" w14:textId="77777777" w:rsidR="00B42EA7" w:rsidRPr="00080375" w:rsidRDefault="00B06007" w:rsidP="00B97219">
            <w:pPr>
              <w:pStyle w:val="BodyText"/>
              <w:rPr>
                <w:rFonts w:cs="Arial"/>
                <w:lang w:val="en-GB"/>
              </w:rPr>
            </w:pPr>
            <w:r w:rsidRPr="00080375">
              <w:rPr>
                <w:rFonts w:cs="Arial"/>
                <w:lang w:val="en-GB"/>
              </w:rPr>
              <w:t>RTS 27 Article 2</w:t>
            </w:r>
          </w:p>
        </w:tc>
        <w:tc>
          <w:tcPr>
            <w:tcW w:w="3969" w:type="dxa"/>
            <w:vAlign w:val="center"/>
          </w:tcPr>
          <w:p w14:paraId="5006541E" w14:textId="77777777" w:rsidR="00B42EA7" w:rsidRPr="00080375" w:rsidRDefault="00B97219" w:rsidP="00B97219">
            <w:pPr>
              <w:pStyle w:val="BodyText"/>
              <w:rPr>
                <w:rFonts w:cs="Arial"/>
                <w:lang w:val="en-GB"/>
              </w:rPr>
            </w:pPr>
            <w:r w:rsidRPr="00995AAB">
              <w:rPr>
                <w:rFonts w:cs="Arial"/>
                <w:lang w:val="en-GB"/>
              </w:rPr>
              <w:t>means the way in which an execution venue executes orders as continuous auction order book, continuous quote driven, request for quote, periodic auction or any hybrid system falling into two or more of these categories or into a system where the price determination process is of a different nature than that applicable to the types of system set out above;</w:t>
            </w:r>
          </w:p>
        </w:tc>
      </w:tr>
      <w:tr w:rsidR="00B97219" w:rsidRPr="00080375" w14:paraId="167C88C3" w14:textId="77777777" w:rsidTr="00B97219">
        <w:tc>
          <w:tcPr>
            <w:tcW w:w="3828" w:type="dxa"/>
            <w:vAlign w:val="center"/>
          </w:tcPr>
          <w:p w14:paraId="330E92FA" w14:textId="77777777" w:rsidR="00B42EA7" w:rsidRPr="00080375" w:rsidRDefault="00B06007" w:rsidP="00B97219">
            <w:pPr>
              <w:pStyle w:val="BodyText"/>
              <w:rPr>
                <w:rFonts w:cs="Arial"/>
                <w:lang w:val="en-GB"/>
              </w:rPr>
            </w:pPr>
            <w:r w:rsidRPr="00995AAB">
              <w:rPr>
                <w:rFonts w:cs="Arial"/>
                <w:b/>
                <w:bCs/>
                <w:lang w:val="en-GB"/>
              </w:rPr>
              <w:t>Size Specific to the financial instrument</w:t>
            </w:r>
          </w:p>
        </w:tc>
        <w:tc>
          <w:tcPr>
            <w:tcW w:w="1843" w:type="dxa"/>
            <w:vAlign w:val="center"/>
          </w:tcPr>
          <w:p w14:paraId="51294B73" w14:textId="77777777" w:rsidR="00B42EA7" w:rsidRPr="00080375" w:rsidRDefault="00B06007" w:rsidP="00B97219">
            <w:pPr>
              <w:pStyle w:val="BodyText"/>
              <w:rPr>
                <w:rFonts w:cs="Arial"/>
                <w:lang w:val="en-GB"/>
              </w:rPr>
            </w:pPr>
            <w:r w:rsidRPr="00080375">
              <w:rPr>
                <w:rFonts w:cs="Arial"/>
                <w:lang w:val="en-GB"/>
              </w:rPr>
              <w:t>RTS 27 Article 2</w:t>
            </w:r>
          </w:p>
        </w:tc>
        <w:tc>
          <w:tcPr>
            <w:tcW w:w="3969" w:type="dxa"/>
            <w:vAlign w:val="center"/>
          </w:tcPr>
          <w:p w14:paraId="38405152" w14:textId="77777777" w:rsidR="00B42EA7" w:rsidRPr="00080375" w:rsidRDefault="00B06007" w:rsidP="00B97219">
            <w:pPr>
              <w:pStyle w:val="BodyText"/>
              <w:rPr>
                <w:rFonts w:cs="Arial"/>
                <w:lang w:val="en-GB"/>
              </w:rPr>
            </w:pPr>
            <w:r w:rsidRPr="00995AAB">
              <w:rPr>
                <w:rFonts w:cs="Arial"/>
                <w:lang w:val="en-GB"/>
              </w:rPr>
              <w:t>means size specific to a bond, structured finance product, emission allowance or derivative traded on a trading venue, for which there is not a liquid market and the transaction in these instruments is subject to deferred publication in accordance with Art. 11 of Regulation (EU) 600/2014;</w:t>
            </w:r>
          </w:p>
        </w:tc>
      </w:tr>
      <w:tr w:rsidR="00B97219" w:rsidRPr="00080375" w14:paraId="5EDED365" w14:textId="77777777" w:rsidTr="00B97219">
        <w:tc>
          <w:tcPr>
            <w:tcW w:w="3828" w:type="dxa"/>
            <w:vAlign w:val="center"/>
          </w:tcPr>
          <w:p w14:paraId="42976FBD" w14:textId="77777777" w:rsidR="00B42EA7" w:rsidRPr="00080375" w:rsidRDefault="00B06007" w:rsidP="00B97219">
            <w:pPr>
              <w:pStyle w:val="BodyText"/>
              <w:rPr>
                <w:rFonts w:cs="Arial"/>
                <w:lang w:val="en-GB"/>
              </w:rPr>
            </w:pPr>
            <w:r w:rsidRPr="00995AAB">
              <w:rPr>
                <w:rFonts w:cs="Arial"/>
                <w:b/>
                <w:bCs/>
                <w:lang w:val="en-GB"/>
              </w:rPr>
              <w:t>Large in Scale</w:t>
            </w:r>
          </w:p>
        </w:tc>
        <w:tc>
          <w:tcPr>
            <w:tcW w:w="1843" w:type="dxa"/>
            <w:vAlign w:val="center"/>
          </w:tcPr>
          <w:p w14:paraId="46A689C4" w14:textId="77777777" w:rsidR="00B42EA7" w:rsidRPr="00080375" w:rsidRDefault="00B06007" w:rsidP="00B97219">
            <w:pPr>
              <w:pStyle w:val="BodyText"/>
              <w:rPr>
                <w:rFonts w:cs="Arial"/>
                <w:lang w:val="en-GB"/>
              </w:rPr>
            </w:pPr>
            <w:r w:rsidRPr="00080375">
              <w:rPr>
                <w:rFonts w:cs="Arial"/>
                <w:lang w:val="en-GB"/>
              </w:rPr>
              <w:t>RTS 27 Article 2</w:t>
            </w:r>
          </w:p>
        </w:tc>
        <w:tc>
          <w:tcPr>
            <w:tcW w:w="3969" w:type="dxa"/>
            <w:vAlign w:val="center"/>
          </w:tcPr>
          <w:p w14:paraId="7DFFF173" w14:textId="77777777" w:rsidR="00B42EA7" w:rsidRPr="00080375" w:rsidRDefault="00B06007" w:rsidP="00B97219">
            <w:pPr>
              <w:pStyle w:val="BodyText"/>
              <w:rPr>
                <w:rFonts w:cs="Arial"/>
                <w:lang w:val="en-GB"/>
              </w:rPr>
            </w:pPr>
            <w:r w:rsidRPr="00995AAB">
              <w:rPr>
                <w:rFonts w:cs="Arial"/>
                <w:lang w:val="en-GB"/>
              </w:rPr>
              <w:t>means an order large in scale in accordance with Article 7 and 11 of Regulation (EU) No 600/2014;</w:t>
            </w:r>
          </w:p>
        </w:tc>
      </w:tr>
      <w:tr w:rsidR="00B97219" w:rsidRPr="00080375" w14:paraId="7BE0F14F" w14:textId="77777777" w:rsidTr="00B97219">
        <w:tc>
          <w:tcPr>
            <w:tcW w:w="3828" w:type="dxa"/>
            <w:vAlign w:val="center"/>
          </w:tcPr>
          <w:p w14:paraId="2560A508" w14:textId="77777777" w:rsidR="00B42EA7" w:rsidRPr="00080375" w:rsidRDefault="00B06007" w:rsidP="00B97219">
            <w:pPr>
              <w:pStyle w:val="BodyText"/>
              <w:rPr>
                <w:rFonts w:cs="Arial"/>
                <w:lang w:val="en-GB"/>
              </w:rPr>
            </w:pPr>
            <w:r w:rsidRPr="00995AAB">
              <w:rPr>
                <w:rFonts w:cs="Arial"/>
                <w:b/>
                <w:bCs/>
                <w:lang w:val="en-GB"/>
              </w:rPr>
              <w:t>Failed transaction</w:t>
            </w:r>
          </w:p>
        </w:tc>
        <w:tc>
          <w:tcPr>
            <w:tcW w:w="1843" w:type="dxa"/>
            <w:vAlign w:val="center"/>
          </w:tcPr>
          <w:p w14:paraId="07A7E77F" w14:textId="77777777" w:rsidR="00B42EA7" w:rsidRPr="00080375" w:rsidRDefault="00B06007" w:rsidP="00B97219">
            <w:pPr>
              <w:pStyle w:val="BodyText"/>
              <w:rPr>
                <w:rFonts w:cs="Arial"/>
                <w:lang w:val="en-GB"/>
              </w:rPr>
            </w:pPr>
            <w:r w:rsidRPr="00080375">
              <w:rPr>
                <w:rFonts w:cs="Arial"/>
                <w:lang w:val="en-GB"/>
              </w:rPr>
              <w:t>RTS 27 Article 2</w:t>
            </w:r>
          </w:p>
        </w:tc>
        <w:tc>
          <w:tcPr>
            <w:tcW w:w="3969" w:type="dxa"/>
            <w:vAlign w:val="center"/>
          </w:tcPr>
          <w:p w14:paraId="4F68A078" w14:textId="0A26AB9E" w:rsidR="00B42EA7" w:rsidRPr="00080375" w:rsidRDefault="00236DA6" w:rsidP="00B97219">
            <w:pPr>
              <w:pStyle w:val="BodyText"/>
              <w:rPr>
                <w:rFonts w:cs="Arial"/>
                <w:lang w:val="en-GB"/>
              </w:rPr>
            </w:pPr>
            <w:r>
              <w:rPr>
                <w:rFonts w:cs="Arial"/>
                <w:lang w:val="en-GB"/>
              </w:rPr>
              <w:t xml:space="preserve">As defined in Art. 2(d)  of RTS 27, </w:t>
            </w:r>
            <w:r w:rsidR="00B06007" w:rsidRPr="00995AAB">
              <w:rPr>
                <w:rFonts w:cs="Arial"/>
                <w:lang w:val="en-GB"/>
              </w:rPr>
              <w:t xml:space="preserve">a transaction that was </w:t>
            </w:r>
            <w:r>
              <w:rPr>
                <w:rFonts w:cs="Arial"/>
                <w:lang w:val="en-GB"/>
              </w:rPr>
              <w:t xml:space="preserve">executed but which was subsequently </w:t>
            </w:r>
            <w:r w:rsidR="00B06007" w:rsidRPr="00995AAB">
              <w:rPr>
                <w:rFonts w:cs="Arial"/>
                <w:lang w:val="en-GB"/>
              </w:rPr>
              <w:t>voided by the execution venue</w:t>
            </w:r>
            <w:r>
              <w:rPr>
                <w:rFonts w:cs="Arial"/>
                <w:lang w:val="en-GB"/>
              </w:rPr>
              <w:t xml:space="preserve"> on the same execution date</w:t>
            </w:r>
            <w:r w:rsidR="00B06007" w:rsidRPr="00995AAB">
              <w:rPr>
                <w:rFonts w:cs="Arial"/>
                <w:lang w:val="en-GB"/>
              </w:rPr>
              <w:t>;</w:t>
            </w:r>
          </w:p>
        </w:tc>
      </w:tr>
      <w:tr w:rsidR="00B97219" w:rsidRPr="00080375" w14:paraId="14D75BCA" w14:textId="77777777" w:rsidTr="00B97219">
        <w:tc>
          <w:tcPr>
            <w:tcW w:w="3828" w:type="dxa"/>
            <w:vAlign w:val="center"/>
          </w:tcPr>
          <w:p w14:paraId="7F965C1B" w14:textId="77777777" w:rsidR="00B42EA7" w:rsidRPr="00080375" w:rsidRDefault="00B06007" w:rsidP="00B97219">
            <w:pPr>
              <w:pStyle w:val="BodyText"/>
              <w:rPr>
                <w:rFonts w:cs="Arial"/>
                <w:lang w:val="en-GB"/>
              </w:rPr>
            </w:pPr>
            <w:r w:rsidRPr="00995AAB">
              <w:rPr>
                <w:rFonts w:cs="Arial"/>
                <w:b/>
                <w:bCs/>
                <w:lang w:val="en-GB"/>
              </w:rPr>
              <w:t>Price multiplier</w:t>
            </w:r>
          </w:p>
        </w:tc>
        <w:tc>
          <w:tcPr>
            <w:tcW w:w="1843" w:type="dxa"/>
            <w:vAlign w:val="center"/>
          </w:tcPr>
          <w:p w14:paraId="4658741D" w14:textId="77777777" w:rsidR="00B42EA7" w:rsidRPr="00080375" w:rsidRDefault="00B06007" w:rsidP="00B97219">
            <w:pPr>
              <w:pStyle w:val="BodyText"/>
              <w:rPr>
                <w:rFonts w:cs="Arial"/>
                <w:lang w:val="en-GB"/>
              </w:rPr>
            </w:pPr>
            <w:r w:rsidRPr="00080375">
              <w:rPr>
                <w:rFonts w:cs="Arial"/>
                <w:lang w:val="en-GB"/>
              </w:rPr>
              <w:t>RTS 27 Article 2</w:t>
            </w:r>
          </w:p>
        </w:tc>
        <w:tc>
          <w:tcPr>
            <w:tcW w:w="3969" w:type="dxa"/>
            <w:vAlign w:val="center"/>
          </w:tcPr>
          <w:p w14:paraId="4A6B6390" w14:textId="77777777" w:rsidR="00B42EA7" w:rsidRPr="00080375" w:rsidRDefault="00B06007" w:rsidP="00B97219">
            <w:pPr>
              <w:pStyle w:val="BodyText"/>
              <w:rPr>
                <w:rFonts w:cs="Arial"/>
                <w:lang w:val="en-GB"/>
              </w:rPr>
            </w:pPr>
            <w:r w:rsidRPr="00995AAB">
              <w:rPr>
                <w:rFonts w:cs="Arial"/>
                <w:lang w:val="en-GB"/>
              </w:rPr>
              <w:t>means the number of units of the underlying instrument represented by a single derivative contract;</w:t>
            </w:r>
          </w:p>
        </w:tc>
      </w:tr>
      <w:tr w:rsidR="00B97219" w:rsidRPr="00080375" w14:paraId="71B76B69" w14:textId="77777777" w:rsidTr="00B97219">
        <w:tc>
          <w:tcPr>
            <w:tcW w:w="3828" w:type="dxa"/>
            <w:vAlign w:val="center"/>
          </w:tcPr>
          <w:p w14:paraId="24E90B02" w14:textId="77777777" w:rsidR="00B42EA7" w:rsidRPr="00080375" w:rsidRDefault="000E5596" w:rsidP="00B97219">
            <w:pPr>
              <w:pStyle w:val="BodyText"/>
              <w:rPr>
                <w:rFonts w:cs="Arial"/>
                <w:lang w:val="en-GB"/>
              </w:rPr>
            </w:pPr>
            <w:r w:rsidRPr="00995AAB">
              <w:rPr>
                <w:rFonts w:cs="Arial"/>
                <w:b/>
                <w:bCs/>
                <w:lang w:val="en-GB"/>
              </w:rPr>
              <w:t>Price notation</w:t>
            </w:r>
          </w:p>
        </w:tc>
        <w:tc>
          <w:tcPr>
            <w:tcW w:w="1843" w:type="dxa"/>
            <w:vAlign w:val="center"/>
          </w:tcPr>
          <w:p w14:paraId="1B580F2A" w14:textId="77777777" w:rsidR="00B42EA7" w:rsidRPr="00080375" w:rsidRDefault="00B06007" w:rsidP="00B97219">
            <w:pPr>
              <w:pStyle w:val="BodyText"/>
              <w:rPr>
                <w:rFonts w:cs="Arial"/>
                <w:lang w:val="en-GB"/>
              </w:rPr>
            </w:pPr>
            <w:r w:rsidRPr="00080375">
              <w:rPr>
                <w:rFonts w:cs="Arial"/>
                <w:lang w:val="en-GB"/>
              </w:rPr>
              <w:t>RTS 27 Article 2</w:t>
            </w:r>
          </w:p>
        </w:tc>
        <w:tc>
          <w:tcPr>
            <w:tcW w:w="3969" w:type="dxa"/>
            <w:vAlign w:val="center"/>
          </w:tcPr>
          <w:p w14:paraId="1C4A8405" w14:textId="77777777" w:rsidR="00B42EA7" w:rsidRPr="00080375" w:rsidRDefault="000E5596" w:rsidP="00B97219">
            <w:pPr>
              <w:pStyle w:val="BodyText"/>
              <w:rPr>
                <w:rFonts w:cs="Arial"/>
                <w:lang w:val="en-GB"/>
              </w:rPr>
            </w:pPr>
            <w:r w:rsidRPr="00995AAB">
              <w:rPr>
                <w:rFonts w:cs="Arial"/>
                <w:lang w:val="en-GB"/>
              </w:rPr>
              <w:t>means an indication as to whether the price of the transaction is expressed in monetary value, in percentage or in yield;</w:t>
            </w:r>
          </w:p>
        </w:tc>
      </w:tr>
      <w:tr w:rsidR="00B97219" w:rsidRPr="00080375" w14:paraId="33537F1D" w14:textId="77777777" w:rsidTr="00B97219">
        <w:tc>
          <w:tcPr>
            <w:tcW w:w="3828" w:type="dxa"/>
            <w:vAlign w:val="center"/>
          </w:tcPr>
          <w:p w14:paraId="24A092CF" w14:textId="77777777" w:rsidR="00B42EA7" w:rsidRPr="00080375" w:rsidRDefault="000E5596" w:rsidP="00B97219">
            <w:pPr>
              <w:pStyle w:val="BodyText"/>
              <w:rPr>
                <w:rFonts w:cs="Arial"/>
                <w:lang w:val="en-GB"/>
              </w:rPr>
            </w:pPr>
            <w:r w:rsidRPr="00995AAB">
              <w:rPr>
                <w:rFonts w:cs="Arial"/>
                <w:b/>
                <w:bCs/>
                <w:lang w:val="en-GB"/>
              </w:rPr>
              <w:t>Quantity notation</w:t>
            </w:r>
          </w:p>
        </w:tc>
        <w:tc>
          <w:tcPr>
            <w:tcW w:w="1843" w:type="dxa"/>
            <w:vAlign w:val="center"/>
          </w:tcPr>
          <w:p w14:paraId="3F2CC5D3" w14:textId="77777777" w:rsidR="00B42EA7" w:rsidRPr="00080375" w:rsidRDefault="00B06007" w:rsidP="00B97219">
            <w:pPr>
              <w:pStyle w:val="BodyText"/>
              <w:rPr>
                <w:rFonts w:cs="Arial"/>
                <w:lang w:val="en-GB"/>
              </w:rPr>
            </w:pPr>
            <w:r w:rsidRPr="00080375">
              <w:rPr>
                <w:rFonts w:cs="Arial"/>
                <w:lang w:val="en-GB"/>
              </w:rPr>
              <w:t>RTS 27 Article 2</w:t>
            </w:r>
          </w:p>
        </w:tc>
        <w:tc>
          <w:tcPr>
            <w:tcW w:w="3969" w:type="dxa"/>
            <w:vAlign w:val="center"/>
          </w:tcPr>
          <w:p w14:paraId="33ADF317" w14:textId="77777777" w:rsidR="00B42EA7" w:rsidRPr="00080375" w:rsidRDefault="000E5596" w:rsidP="00B97219">
            <w:pPr>
              <w:pStyle w:val="BodyText"/>
              <w:rPr>
                <w:rFonts w:cs="Arial"/>
                <w:lang w:val="en-GB"/>
              </w:rPr>
            </w:pPr>
            <w:r w:rsidRPr="00995AAB">
              <w:rPr>
                <w:rFonts w:cs="Arial"/>
                <w:lang w:val="en-GB"/>
              </w:rPr>
              <w:t xml:space="preserve">means an indication as to whether the quantity of the transaction is expressed in </w:t>
            </w:r>
            <w:r w:rsidRPr="00995AAB">
              <w:rPr>
                <w:rFonts w:cs="Arial"/>
                <w:lang w:val="en-GB"/>
              </w:rPr>
              <w:lastRenderedPageBreak/>
              <w:t>number of units or in nominal value or in monetary value;</w:t>
            </w:r>
          </w:p>
        </w:tc>
      </w:tr>
      <w:tr w:rsidR="00B97219" w:rsidRPr="00080375" w14:paraId="66A721A0" w14:textId="77777777" w:rsidTr="00B97219">
        <w:tc>
          <w:tcPr>
            <w:tcW w:w="3828" w:type="dxa"/>
            <w:vAlign w:val="center"/>
          </w:tcPr>
          <w:p w14:paraId="2540597F" w14:textId="77777777" w:rsidR="00B42EA7" w:rsidRPr="00080375" w:rsidRDefault="000E5596" w:rsidP="00B97219">
            <w:pPr>
              <w:pStyle w:val="BodyText"/>
              <w:rPr>
                <w:rFonts w:cs="Arial"/>
                <w:lang w:val="en-GB"/>
              </w:rPr>
            </w:pPr>
            <w:r w:rsidRPr="00995AAB">
              <w:rPr>
                <w:rFonts w:cs="Arial"/>
                <w:b/>
                <w:bCs/>
                <w:lang w:val="en-GB"/>
              </w:rPr>
              <w:lastRenderedPageBreak/>
              <w:t>Delivery type</w:t>
            </w:r>
          </w:p>
        </w:tc>
        <w:tc>
          <w:tcPr>
            <w:tcW w:w="1843" w:type="dxa"/>
            <w:vAlign w:val="center"/>
          </w:tcPr>
          <w:p w14:paraId="30B62E6F" w14:textId="77777777" w:rsidR="00B42EA7" w:rsidRPr="00080375" w:rsidRDefault="00B06007" w:rsidP="00B97219">
            <w:pPr>
              <w:pStyle w:val="BodyText"/>
              <w:rPr>
                <w:rFonts w:cs="Arial"/>
                <w:lang w:val="en-GB"/>
              </w:rPr>
            </w:pPr>
            <w:r w:rsidRPr="00080375">
              <w:rPr>
                <w:rFonts w:cs="Arial"/>
                <w:lang w:val="en-GB"/>
              </w:rPr>
              <w:t>RTS 27 Article 2</w:t>
            </w:r>
          </w:p>
        </w:tc>
        <w:tc>
          <w:tcPr>
            <w:tcW w:w="3969" w:type="dxa"/>
            <w:vAlign w:val="center"/>
          </w:tcPr>
          <w:p w14:paraId="5820353C" w14:textId="77777777" w:rsidR="00B42EA7" w:rsidRPr="00080375" w:rsidRDefault="000E5596" w:rsidP="00B97219">
            <w:pPr>
              <w:pStyle w:val="BodyText"/>
              <w:rPr>
                <w:rFonts w:cs="Arial"/>
                <w:lang w:val="en-GB"/>
              </w:rPr>
            </w:pPr>
            <w:r w:rsidRPr="00995AAB">
              <w:rPr>
                <w:rFonts w:cs="Arial"/>
                <w:lang w:val="en-GB"/>
              </w:rPr>
              <w:t>means an indication as to whether the financial instrument is settled physically or in cash including instances when the counterparty may choose or when it is determined by a third party;</w:t>
            </w:r>
          </w:p>
        </w:tc>
      </w:tr>
      <w:tr w:rsidR="00B97219" w:rsidRPr="00080375" w14:paraId="72EDF50C" w14:textId="77777777" w:rsidTr="00B97219">
        <w:tc>
          <w:tcPr>
            <w:tcW w:w="3828" w:type="dxa"/>
            <w:vAlign w:val="center"/>
          </w:tcPr>
          <w:p w14:paraId="34C1E75E" w14:textId="77777777" w:rsidR="00B42EA7" w:rsidRPr="00080375" w:rsidRDefault="000E5596" w:rsidP="00B97219">
            <w:pPr>
              <w:pStyle w:val="BodyText"/>
              <w:rPr>
                <w:rFonts w:cs="Arial"/>
                <w:lang w:val="en-GB"/>
              </w:rPr>
            </w:pPr>
            <w:r w:rsidRPr="00995AAB">
              <w:rPr>
                <w:rFonts w:cs="Arial"/>
                <w:b/>
                <w:bCs/>
                <w:lang w:val="en-GB"/>
              </w:rPr>
              <w:t>Trading mode</w:t>
            </w:r>
          </w:p>
        </w:tc>
        <w:tc>
          <w:tcPr>
            <w:tcW w:w="1843" w:type="dxa"/>
            <w:vAlign w:val="center"/>
          </w:tcPr>
          <w:p w14:paraId="0DD5DEBD" w14:textId="77777777" w:rsidR="00B42EA7" w:rsidRPr="00080375" w:rsidRDefault="00B06007" w:rsidP="00B97219">
            <w:pPr>
              <w:pStyle w:val="BodyText"/>
              <w:rPr>
                <w:rFonts w:cs="Arial"/>
                <w:lang w:val="en-GB"/>
              </w:rPr>
            </w:pPr>
            <w:r w:rsidRPr="00080375">
              <w:rPr>
                <w:rFonts w:cs="Arial"/>
                <w:lang w:val="en-GB"/>
              </w:rPr>
              <w:t>RTS 27 Article 2</w:t>
            </w:r>
          </w:p>
        </w:tc>
        <w:tc>
          <w:tcPr>
            <w:tcW w:w="3969" w:type="dxa"/>
            <w:vAlign w:val="center"/>
          </w:tcPr>
          <w:p w14:paraId="60CEA71D" w14:textId="77777777" w:rsidR="00B42EA7" w:rsidRPr="00080375" w:rsidRDefault="000E5596" w:rsidP="00B97219">
            <w:pPr>
              <w:pStyle w:val="BodyText"/>
              <w:rPr>
                <w:rFonts w:cs="Arial"/>
                <w:lang w:val="en-GB"/>
              </w:rPr>
            </w:pPr>
            <w:r w:rsidRPr="00995AAB">
              <w:rPr>
                <w:rFonts w:cs="Arial"/>
                <w:lang w:val="en-GB"/>
              </w:rPr>
              <w:t>means scheduled opening, closing or intra-day auction, unscheduled auction, trading at close, trading out of main session, or trade reporting;</w:t>
            </w:r>
          </w:p>
        </w:tc>
      </w:tr>
      <w:tr w:rsidR="00B97219" w:rsidRPr="00080375" w14:paraId="0FAE5676" w14:textId="77777777" w:rsidTr="00B97219">
        <w:tc>
          <w:tcPr>
            <w:tcW w:w="3828" w:type="dxa"/>
            <w:vAlign w:val="center"/>
          </w:tcPr>
          <w:p w14:paraId="2DDED4AE" w14:textId="77777777" w:rsidR="00B42EA7" w:rsidRPr="00080375" w:rsidRDefault="000E5596" w:rsidP="00B97219">
            <w:pPr>
              <w:pStyle w:val="BodyText"/>
              <w:rPr>
                <w:rFonts w:cs="Arial"/>
                <w:lang w:val="en-GB"/>
              </w:rPr>
            </w:pPr>
            <w:r w:rsidRPr="00995AAB">
              <w:rPr>
                <w:rFonts w:cs="Arial"/>
                <w:b/>
                <w:bCs/>
                <w:lang w:val="en-GB"/>
              </w:rPr>
              <w:t>Trading platform</w:t>
            </w:r>
          </w:p>
        </w:tc>
        <w:tc>
          <w:tcPr>
            <w:tcW w:w="1843" w:type="dxa"/>
            <w:vAlign w:val="center"/>
          </w:tcPr>
          <w:p w14:paraId="5891F2D9" w14:textId="77777777" w:rsidR="00B42EA7" w:rsidRPr="00080375" w:rsidRDefault="00831122" w:rsidP="00B97219">
            <w:pPr>
              <w:pStyle w:val="BodyText"/>
              <w:rPr>
                <w:rFonts w:cs="Arial"/>
                <w:lang w:val="en-GB"/>
              </w:rPr>
            </w:pPr>
            <w:r w:rsidRPr="00080375">
              <w:rPr>
                <w:rFonts w:cs="Arial"/>
                <w:lang w:val="en-GB"/>
              </w:rPr>
              <w:t>RTS 27 Article 2</w:t>
            </w:r>
          </w:p>
        </w:tc>
        <w:tc>
          <w:tcPr>
            <w:tcW w:w="3969" w:type="dxa"/>
            <w:vAlign w:val="center"/>
          </w:tcPr>
          <w:p w14:paraId="721E4E4A" w14:textId="77777777" w:rsidR="00B42EA7" w:rsidRPr="00080375" w:rsidRDefault="000E5596" w:rsidP="00B97219">
            <w:pPr>
              <w:pStyle w:val="BodyText"/>
              <w:rPr>
                <w:rFonts w:cs="Arial"/>
                <w:lang w:val="en-GB"/>
              </w:rPr>
            </w:pPr>
            <w:r w:rsidRPr="00995AAB">
              <w:rPr>
                <w:rFonts w:cs="Arial"/>
                <w:lang w:val="en-GB"/>
              </w:rPr>
              <w:t>means the type of platform the execution venue operates: electronic, voice or outcry;</w:t>
            </w:r>
          </w:p>
        </w:tc>
      </w:tr>
      <w:tr w:rsidR="00B97219" w:rsidRPr="00080375" w14:paraId="0AED766E" w14:textId="77777777" w:rsidTr="00B97219">
        <w:tc>
          <w:tcPr>
            <w:tcW w:w="3828" w:type="dxa"/>
            <w:vAlign w:val="center"/>
          </w:tcPr>
          <w:p w14:paraId="2E379DCC" w14:textId="77777777" w:rsidR="00B42EA7" w:rsidRPr="00080375" w:rsidRDefault="000E5596" w:rsidP="00B97219">
            <w:pPr>
              <w:pStyle w:val="BodyText"/>
              <w:rPr>
                <w:rFonts w:cs="Arial"/>
                <w:lang w:val="en-GB"/>
              </w:rPr>
            </w:pPr>
            <w:r w:rsidRPr="00995AAB">
              <w:rPr>
                <w:rFonts w:cs="Arial"/>
                <w:b/>
                <w:bCs/>
                <w:lang w:val="en-GB"/>
              </w:rPr>
              <w:t>Book depth</w:t>
            </w:r>
          </w:p>
        </w:tc>
        <w:tc>
          <w:tcPr>
            <w:tcW w:w="1843" w:type="dxa"/>
            <w:vAlign w:val="center"/>
          </w:tcPr>
          <w:p w14:paraId="26AD660A" w14:textId="77777777" w:rsidR="00B42EA7" w:rsidRPr="00080375" w:rsidRDefault="00831122" w:rsidP="00B97219">
            <w:pPr>
              <w:pStyle w:val="BodyText"/>
              <w:rPr>
                <w:rFonts w:cs="Arial"/>
                <w:lang w:val="en-GB"/>
              </w:rPr>
            </w:pPr>
            <w:r w:rsidRPr="00080375">
              <w:rPr>
                <w:rFonts w:cs="Arial"/>
                <w:lang w:val="en-GB"/>
              </w:rPr>
              <w:t>RTS 27 Article 2</w:t>
            </w:r>
          </w:p>
        </w:tc>
        <w:tc>
          <w:tcPr>
            <w:tcW w:w="3969" w:type="dxa"/>
            <w:vAlign w:val="center"/>
          </w:tcPr>
          <w:p w14:paraId="653059AF" w14:textId="77777777" w:rsidR="00B42EA7" w:rsidRPr="00080375" w:rsidRDefault="000E5596" w:rsidP="00B97219">
            <w:pPr>
              <w:pStyle w:val="BodyText"/>
              <w:rPr>
                <w:rFonts w:cs="Arial"/>
                <w:lang w:val="en-GB"/>
              </w:rPr>
            </w:pPr>
            <w:r w:rsidRPr="00995AAB">
              <w:rPr>
                <w:rFonts w:cs="Arial"/>
                <w:lang w:val="en-GB"/>
              </w:rPr>
              <w:t>means the total available liquidity expressed as the product of price and volume of all bids and offers for a specified number of price increments from the mid-point of the best bid and offer;</w:t>
            </w:r>
          </w:p>
        </w:tc>
      </w:tr>
      <w:tr w:rsidR="00B97219" w:rsidRPr="00080375" w14:paraId="1AE6853E" w14:textId="77777777" w:rsidTr="00B97219">
        <w:tc>
          <w:tcPr>
            <w:tcW w:w="3828" w:type="dxa"/>
            <w:vAlign w:val="center"/>
          </w:tcPr>
          <w:p w14:paraId="52E503FF" w14:textId="77777777" w:rsidR="00B42EA7" w:rsidRPr="00080375" w:rsidRDefault="000E5596" w:rsidP="00B97219">
            <w:pPr>
              <w:pStyle w:val="BodyText"/>
              <w:rPr>
                <w:rFonts w:cs="Arial"/>
                <w:lang w:val="en-GB"/>
              </w:rPr>
            </w:pPr>
            <w:r w:rsidRPr="00995AAB">
              <w:rPr>
                <w:rFonts w:cs="Arial"/>
                <w:b/>
                <w:bCs/>
                <w:lang w:val="en-GB"/>
              </w:rPr>
              <w:t>Average effective spread</w:t>
            </w:r>
          </w:p>
        </w:tc>
        <w:tc>
          <w:tcPr>
            <w:tcW w:w="1843" w:type="dxa"/>
            <w:vAlign w:val="center"/>
          </w:tcPr>
          <w:p w14:paraId="36D723A8" w14:textId="77777777" w:rsidR="00B42EA7" w:rsidRPr="00080375" w:rsidRDefault="00831122" w:rsidP="00B97219">
            <w:pPr>
              <w:pStyle w:val="BodyText"/>
              <w:rPr>
                <w:rFonts w:cs="Arial"/>
                <w:lang w:val="en-GB"/>
              </w:rPr>
            </w:pPr>
            <w:r w:rsidRPr="00080375">
              <w:rPr>
                <w:rFonts w:cs="Arial"/>
                <w:lang w:val="en-GB"/>
              </w:rPr>
              <w:t>RTS 27 Article 2</w:t>
            </w:r>
          </w:p>
        </w:tc>
        <w:tc>
          <w:tcPr>
            <w:tcW w:w="3969" w:type="dxa"/>
            <w:vAlign w:val="center"/>
          </w:tcPr>
          <w:p w14:paraId="767FAB96" w14:textId="77777777" w:rsidR="00B42EA7" w:rsidRPr="00080375" w:rsidRDefault="000E5596" w:rsidP="00B97219">
            <w:pPr>
              <w:pStyle w:val="BodyText"/>
              <w:rPr>
                <w:rFonts w:cs="Arial"/>
                <w:lang w:val="en-GB"/>
              </w:rPr>
            </w:pPr>
            <w:r w:rsidRPr="00995AAB">
              <w:rPr>
                <w:rFonts w:cs="Arial"/>
                <w:lang w:val="en-GB"/>
              </w:rPr>
              <w:t>means the average of twice the difference between the actual execution price compared with mid-point of best bid and offer at time of receipt, for market orders or marketable limit orders;</w:t>
            </w:r>
          </w:p>
        </w:tc>
      </w:tr>
      <w:tr w:rsidR="00B97219" w:rsidRPr="00080375" w14:paraId="12C15BB1" w14:textId="77777777" w:rsidTr="00B97219">
        <w:tc>
          <w:tcPr>
            <w:tcW w:w="3828" w:type="dxa"/>
            <w:vAlign w:val="center"/>
          </w:tcPr>
          <w:p w14:paraId="189256CB" w14:textId="77777777" w:rsidR="00B42EA7" w:rsidRPr="00080375" w:rsidRDefault="000E5596" w:rsidP="00B97219">
            <w:pPr>
              <w:pStyle w:val="BodyText"/>
              <w:rPr>
                <w:rFonts w:cs="Arial"/>
                <w:lang w:val="en-GB"/>
              </w:rPr>
            </w:pPr>
            <w:r w:rsidRPr="00995AAB">
              <w:rPr>
                <w:rFonts w:cs="Arial"/>
                <w:b/>
                <w:bCs/>
                <w:lang w:val="en-GB"/>
              </w:rPr>
              <w:t>Average speed of execution for unmodified passive orders at best bid and offer</w:t>
            </w:r>
          </w:p>
        </w:tc>
        <w:tc>
          <w:tcPr>
            <w:tcW w:w="1843" w:type="dxa"/>
            <w:vAlign w:val="center"/>
          </w:tcPr>
          <w:p w14:paraId="41187739" w14:textId="77777777" w:rsidR="00B42EA7" w:rsidRPr="00080375" w:rsidRDefault="00831122" w:rsidP="00B97219">
            <w:pPr>
              <w:pStyle w:val="BodyText"/>
              <w:rPr>
                <w:rFonts w:cs="Arial"/>
                <w:lang w:val="en-GB"/>
              </w:rPr>
            </w:pPr>
            <w:r w:rsidRPr="00080375">
              <w:rPr>
                <w:rFonts w:cs="Arial"/>
                <w:lang w:val="en-GB"/>
              </w:rPr>
              <w:t>RTS 27 Article 2</w:t>
            </w:r>
          </w:p>
        </w:tc>
        <w:tc>
          <w:tcPr>
            <w:tcW w:w="3969" w:type="dxa"/>
            <w:vAlign w:val="center"/>
          </w:tcPr>
          <w:p w14:paraId="62A29880" w14:textId="77777777" w:rsidR="00B42EA7" w:rsidRPr="00080375" w:rsidRDefault="006118CE" w:rsidP="00B97219">
            <w:pPr>
              <w:pStyle w:val="BodyText"/>
              <w:rPr>
                <w:rFonts w:cs="Arial"/>
                <w:lang w:val="en-GB"/>
              </w:rPr>
            </w:pPr>
            <w:r w:rsidRPr="00995AAB">
              <w:rPr>
                <w:rFonts w:cs="Arial"/>
                <w:lang w:val="en-GB"/>
              </w:rPr>
              <w:t>means the average time elapsed between a limit order that matches the best bid and offer being received by the execution venue, and the subsequent execution of this order;</w:t>
            </w:r>
          </w:p>
        </w:tc>
      </w:tr>
      <w:tr w:rsidR="00B97219" w:rsidRPr="00080375" w14:paraId="02AFE86A" w14:textId="77777777" w:rsidTr="00B97219">
        <w:tc>
          <w:tcPr>
            <w:tcW w:w="3828" w:type="dxa"/>
            <w:vAlign w:val="center"/>
          </w:tcPr>
          <w:p w14:paraId="1EE74C13" w14:textId="77777777" w:rsidR="00B42EA7" w:rsidRPr="00080375" w:rsidRDefault="006118CE" w:rsidP="00B97219">
            <w:pPr>
              <w:pStyle w:val="BodyText"/>
              <w:rPr>
                <w:rFonts w:cs="Arial"/>
                <w:lang w:val="en-GB"/>
              </w:rPr>
            </w:pPr>
            <w:r w:rsidRPr="00995AAB">
              <w:rPr>
                <w:rFonts w:cs="Arial"/>
                <w:b/>
                <w:bCs/>
                <w:lang w:val="en-GB"/>
              </w:rPr>
              <w:t>Aggressive order</w:t>
            </w:r>
          </w:p>
        </w:tc>
        <w:tc>
          <w:tcPr>
            <w:tcW w:w="1843" w:type="dxa"/>
            <w:vAlign w:val="center"/>
          </w:tcPr>
          <w:p w14:paraId="2A5E4647" w14:textId="77777777" w:rsidR="00B42EA7" w:rsidRPr="00080375" w:rsidRDefault="00E7753D" w:rsidP="00B97219">
            <w:pPr>
              <w:pStyle w:val="BodyText"/>
              <w:rPr>
                <w:rFonts w:cs="Arial"/>
                <w:lang w:val="en-GB"/>
              </w:rPr>
            </w:pPr>
            <w:r w:rsidRPr="00080375">
              <w:rPr>
                <w:rFonts w:cs="Arial"/>
                <w:lang w:val="en-GB"/>
              </w:rPr>
              <w:t>RTS 28</w:t>
            </w:r>
            <w:r w:rsidR="00831122" w:rsidRPr="00080375">
              <w:rPr>
                <w:rFonts w:cs="Arial"/>
                <w:lang w:val="en-GB"/>
              </w:rPr>
              <w:t xml:space="preserve"> Article 2</w:t>
            </w:r>
          </w:p>
        </w:tc>
        <w:tc>
          <w:tcPr>
            <w:tcW w:w="3969" w:type="dxa"/>
            <w:vAlign w:val="center"/>
          </w:tcPr>
          <w:p w14:paraId="7DBACF4E" w14:textId="77777777" w:rsidR="00B42EA7" w:rsidRPr="00080375" w:rsidRDefault="006118CE" w:rsidP="00B97219">
            <w:pPr>
              <w:pStyle w:val="BodyText"/>
              <w:rPr>
                <w:rFonts w:cs="Arial"/>
                <w:lang w:val="en-GB"/>
              </w:rPr>
            </w:pPr>
            <w:r w:rsidRPr="00995AAB">
              <w:rPr>
                <w:rFonts w:cs="Arial"/>
                <w:lang w:val="en-GB"/>
              </w:rPr>
              <w:t>means an order entered into the order book that took liquidity</w:t>
            </w:r>
          </w:p>
        </w:tc>
      </w:tr>
      <w:tr w:rsidR="00B97219" w:rsidRPr="00080375" w14:paraId="6F02BFA4" w14:textId="77777777" w:rsidTr="00B97219">
        <w:tc>
          <w:tcPr>
            <w:tcW w:w="3828" w:type="dxa"/>
            <w:vAlign w:val="center"/>
          </w:tcPr>
          <w:p w14:paraId="3173CE66" w14:textId="77777777" w:rsidR="00B42EA7" w:rsidRPr="00080375" w:rsidRDefault="006118CE" w:rsidP="00B97219">
            <w:pPr>
              <w:pStyle w:val="BodyText"/>
              <w:rPr>
                <w:rFonts w:cs="Arial"/>
                <w:lang w:val="en-GB"/>
              </w:rPr>
            </w:pPr>
            <w:r w:rsidRPr="00995AAB">
              <w:rPr>
                <w:rFonts w:cs="Arial"/>
                <w:b/>
                <w:bCs/>
                <w:lang w:val="en-GB"/>
              </w:rPr>
              <w:t>Passive order</w:t>
            </w:r>
          </w:p>
        </w:tc>
        <w:tc>
          <w:tcPr>
            <w:tcW w:w="1843" w:type="dxa"/>
            <w:vAlign w:val="center"/>
          </w:tcPr>
          <w:p w14:paraId="42C1F91F" w14:textId="77777777" w:rsidR="00B42EA7" w:rsidRPr="00080375" w:rsidRDefault="00E7753D" w:rsidP="00B97219">
            <w:pPr>
              <w:pStyle w:val="BodyText"/>
              <w:rPr>
                <w:rFonts w:cs="Arial"/>
                <w:lang w:val="en-GB"/>
              </w:rPr>
            </w:pPr>
            <w:r w:rsidRPr="00080375">
              <w:rPr>
                <w:rFonts w:cs="Arial"/>
                <w:lang w:val="en-GB"/>
              </w:rPr>
              <w:t>RTS 28</w:t>
            </w:r>
            <w:r w:rsidR="00831122" w:rsidRPr="00080375">
              <w:rPr>
                <w:rFonts w:cs="Arial"/>
                <w:lang w:val="en-GB"/>
              </w:rPr>
              <w:t xml:space="preserve"> Article 2</w:t>
            </w:r>
          </w:p>
        </w:tc>
        <w:tc>
          <w:tcPr>
            <w:tcW w:w="3969" w:type="dxa"/>
            <w:vAlign w:val="center"/>
          </w:tcPr>
          <w:p w14:paraId="267EF17B" w14:textId="77777777" w:rsidR="00B42EA7" w:rsidRPr="00080375" w:rsidRDefault="006118CE" w:rsidP="00B97219">
            <w:pPr>
              <w:pStyle w:val="BodyText"/>
              <w:rPr>
                <w:rFonts w:cs="Arial"/>
                <w:lang w:val="en-GB"/>
              </w:rPr>
            </w:pPr>
            <w:r w:rsidRPr="00995AAB">
              <w:rPr>
                <w:rFonts w:cs="Arial"/>
                <w:lang w:val="en-GB"/>
              </w:rPr>
              <w:t>means an order entered onto the order book that provided liquidity</w:t>
            </w:r>
          </w:p>
        </w:tc>
      </w:tr>
      <w:tr w:rsidR="000E5596" w:rsidRPr="00080375" w14:paraId="3664B722" w14:textId="77777777" w:rsidTr="00B97219">
        <w:tc>
          <w:tcPr>
            <w:tcW w:w="3828" w:type="dxa"/>
            <w:vAlign w:val="center"/>
          </w:tcPr>
          <w:p w14:paraId="577EED1D" w14:textId="77777777" w:rsidR="000E5596" w:rsidRPr="00080375" w:rsidRDefault="006118CE" w:rsidP="00B97219">
            <w:pPr>
              <w:pStyle w:val="BodyText"/>
              <w:rPr>
                <w:rFonts w:cs="Arial"/>
                <w:lang w:val="en-GB"/>
              </w:rPr>
            </w:pPr>
            <w:r w:rsidRPr="00995AAB">
              <w:rPr>
                <w:rFonts w:cs="Arial"/>
                <w:b/>
                <w:bCs/>
                <w:lang w:val="en-GB"/>
              </w:rPr>
              <w:t>Immediate or cancel order</w:t>
            </w:r>
          </w:p>
        </w:tc>
        <w:tc>
          <w:tcPr>
            <w:tcW w:w="1843" w:type="dxa"/>
            <w:vAlign w:val="center"/>
          </w:tcPr>
          <w:p w14:paraId="3B5B5929" w14:textId="77777777" w:rsidR="000E5596" w:rsidRPr="00080375" w:rsidRDefault="00831122" w:rsidP="00B97219">
            <w:pPr>
              <w:pStyle w:val="BodyText"/>
              <w:rPr>
                <w:rFonts w:cs="Arial"/>
                <w:lang w:val="en-GB"/>
              </w:rPr>
            </w:pPr>
            <w:r w:rsidRPr="00080375">
              <w:rPr>
                <w:rFonts w:cs="Arial"/>
                <w:lang w:val="en-GB"/>
              </w:rPr>
              <w:t>RTS 27 Article 2</w:t>
            </w:r>
          </w:p>
        </w:tc>
        <w:tc>
          <w:tcPr>
            <w:tcW w:w="3969" w:type="dxa"/>
            <w:vAlign w:val="center"/>
          </w:tcPr>
          <w:p w14:paraId="3A785BC0" w14:textId="77777777" w:rsidR="000E5596" w:rsidRPr="00080375" w:rsidRDefault="006118CE" w:rsidP="00B97219">
            <w:pPr>
              <w:pStyle w:val="BodyText"/>
              <w:rPr>
                <w:rFonts w:cs="Arial"/>
                <w:lang w:val="en-GB"/>
              </w:rPr>
            </w:pPr>
            <w:r w:rsidRPr="00995AAB">
              <w:rPr>
                <w:rFonts w:cs="Arial"/>
                <w:lang w:val="en-GB"/>
              </w:rPr>
              <w:t>means an order which is executed upon its entering into the order book and which does not remain in the order book for any remaining quantity that has not been executed;</w:t>
            </w:r>
          </w:p>
        </w:tc>
      </w:tr>
      <w:tr w:rsidR="000E5596" w:rsidRPr="00080375" w14:paraId="44C5810A" w14:textId="77777777" w:rsidTr="00B97219">
        <w:tc>
          <w:tcPr>
            <w:tcW w:w="3828" w:type="dxa"/>
            <w:vAlign w:val="center"/>
          </w:tcPr>
          <w:p w14:paraId="50D259C9" w14:textId="77777777" w:rsidR="000E5596" w:rsidRPr="00080375" w:rsidRDefault="006118CE" w:rsidP="00B97219">
            <w:pPr>
              <w:pStyle w:val="BodyText"/>
              <w:rPr>
                <w:rFonts w:cs="Arial"/>
                <w:lang w:val="en-GB"/>
              </w:rPr>
            </w:pPr>
            <w:r w:rsidRPr="00995AAB">
              <w:rPr>
                <w:rFonts w:cs="Arial"/>
                <w:b/>
                <w:bCs/>
                <w:lang w:val="en-GB"/>
              </w:rPr>
              <w:t>Fill or kill order</w:t>
            </w:r>
          </w:p>
        </w:tc>
        <w:tc>
          <w:tcPr>
            <w:tcW w:w="1843" w:type="dxa"/>
            <w:vAlign w:val="center"/>
          </w:tcPr>
          <w:p w14:paraId="30CB43F8" w14:textId="77777777" w:rsidR="000E5596" w:rsidRPr="00080375" w:rsidRDefault="00831122" w:rsidP="00B97219">
            <w:pPr>
              <w:pStyle w:val="BodyText"/>
              <w:rPr>
                <w:rFonts w:cs="Arial"/>
                <w:lang w:val="en-GB"/>
              </w:rPr>
            </w:pPr>
            <w:r w:rsidRPr="00080375">
              <w:rPr>
                <w:rFonts w:cs="Arial"/>
                <w:lang w:val="en-GB"/>
              </w:rPr>
              <w:t>RTS 27 Article 2</w:t>
            </w:r>
          </w:p>
        </w:tc>
        <w:tc>
          <w:tcPr>
            <w:tcW w:w="3969" w:type="dxa"/>
            <w:vAlign w:val="center"/>
          </w:tcPr>
          <w:p w14:paraId="00FB53AB" w14:textId="77777777" w:rsidR="000E5596" w:rsidRPr="00080375" w:rsidRDefault="006118CE" w:rsidP="00B97219">
            <w:pPr>
              <w:pStyle w:val="BodyText"/>
              <w:rPr>
                <w:rFonts w:cs="Arial"/>
                <w:lang w:val="en-GB"/>
              </w:rPr>
            </w:pPr>
            <w:r w:rsidRPr="00995AAB">
              <w:rPr>
                <w:rFonts w:cs="Arial"/>
                <w:lang w:val="en-GB"/>
              </w:rPr>
              <w:t>means an order which is executed upon its entering into the order book provided that it can be fully filled. In the event the order can only be partially executed, then it is automatically rejected and is not executed.</w:t>
            </w:r>
          </w:p>
        </w:tc>
      </w:tr>
      <w:tr w:rsidR="00E7753D" w:rsidRPr="00080375" w14:paraId="539E979D" w14:textId="77777777" w:rsidTr="00B97219">
        <w:tc>
          <w:tcPr>
            <w:tcW w:w="3828" w:type="dxa"/>
            <w:vAlign w:val="center"/>
          </w:tcPr>
          <w:p w14:paraId="67F44622" w14:textId="77777777" w:rsidR="00E7753D" w:rsidRPr="00995AAB" w:rsidRDefault="00E7753D" w:rsidP="00B97219">
            <w:pPr>
              <w:pStyle w:val="BodyText"/>
              <w:rPr>
                <w:rFonts w:cs="Arial"/>
                <w:b/>
                <w:bCs/>
                <w:lang w:val="en-GB"/>
              </w:rPr>
            </w:pPr>
            <w:r w:rsidRPr="00995AAB">
              <w:rPr>
                <w:rFonts w:cs="Arial"/>
                <w:b/>
                <w:bCs/>
                <w:lang w:val="en-GB"/>
              </w:rPr>
              <w:t>Directed order</w:t>
            </w:r>
          </w:p>
        </w:tc>
        <w:tc>
          <w:tcPr>
            <w:tcW w:w="1843" w:type="dxa"/>
            <w:vAlign w:val="center"/>
          </w:tcPr>
          <w:p w14:paraId="21336211" w14:textId="77777777" w:rsidR="00E7753D" w:rsidRPr="00080375" w:rsidRDefault="00E7753D" w:rsidP="00B97219">
            <w:pPr>
              <w:pStyle w:val="BodyText"/>
              <w:rPr>
                <w:rFonts w:cs="Arial"/>
                <w:lang w:val="en-GB"/>
              </w:rPr>
            </w:pPr>
            <w:r w:rsidRPr="00080375">
              <w:rPr>
                <w:rFonts w:cs="Arial"/>
                <w:lang w:val="en-GB"/>
              </w:rPr>
              <w:t>RTS 28 Article 2</w:t>
            </w:r>
          </w:p>
        </w:tc>
        <w:tc>
          <w:tcPr>
            <w:tcW w:w="3969" w:type="dxa"/>
            <w:vAlign w:val="center"/>
          </w:tcPr>
          <w:p w14:paraId="4B45E63D" w14:textId="77777777" w:rsidR="00E7753D" w:rsidRPr="00995AAB" w:rsidRDefault="00E7753D" w:rsidP="00B97219">
            <w:pPr>
              <w:pStyle w:val="BodyText"/>
              <w:rPr>
                <w:rFonts w:cs="Arial"/>
                <w:lang w:val="en-GB"/>
              </w:rPr>
            </w:pPr>
            <w:r w:rsidRPr="00995AAB">
              <w:rPr>
                <w:rFonts w:cs="Arial"/>
                <w:lang w:val="en-GB"/>
              </w:rPr>
              <w:t>means an order where a specific execution venue was specified by the client prior to the execution of the order</w:t>
            </w:r>
          </w:p>
        </w:tc>
      </w:tr>
      <w:tr w:rsidR="000E5596" w:rsidRPr="00080375" w14:paraId="699F0C2F" w14:textId="77777777" w:rsidTr="00B97219">
        <w:tc>
          <w:tcPr>
            <w:tcW w:w="3828" w:type="dxa"/>
            <w:vAlign w:val="center"/>
          </w:tcPr>
          <w:p w14:paraId="062B39A1" w14:textId="77777777" w:rsidR="000E5596" w:rsidRPr="00080375" w:rsidRDefault="00831122" w:rsidP="00B97219">
            <w:pPr>
              <w:pStyle w:val="BodyText"/>
              <w:rPr>
                <w:rFonts w:cs="Arial"/>
                <w:lang w:val="en-GB"/>
              </w:rPr>
            </w:pPr>
            <w:r w:rsidRPr="00995AAB">
              <w:rPr>
                <w:rFonts w:cs="Arial"/>
                <w:b/>
                <w:bCs/>
                <w:lang w:val="en-GB"/>
              </w:rPr>
              <w:lastRenderedPageBreak/>
              <w:t>Liquidity Provider</w:t>
            </w:r>
          </w:p>
        </w:tc>
        <w:tc>
          <w:tcPr>
            <w:tcW w:w="1843" w:type="dxa"/>
            <w:vAlign w:val="center"/>
          </w:tcPr>
          <w:p w14:paraId="434E95ED" w14:textId="77777777" w:rsidR="000E5596" w:rsidRPr="00080375" w:rsidRDefault="00BB2955" w:rsidP="00B97219">
            <w:pPr>
              <w:pStyle w:val="BodyText"/>
              <w:rPr>
                <w:rFonts w:cs="Arial"/>
                <w:lang w:val="en-GB"/>
              </w:rPr>
            </w:pPr>
            <w:r w:rsidRPr="00080375">
              <w:rPr>
                <w:rFonts w:cs="Arial"/>
                <w:lang w:val="en-GB"/>
              </w:rPr>
              <w:t>FIX Trading Community</w:t>
            </w:r>
          </w:p>
        </w:tc>
        <w:tc>
          <w:tcPr>
            <w:tcW w:w="3969" w:type="dxa"/>
            <w:vAlign w:val="center"/>
          </w:tcPr>
          <w:p w14:paraId="38DA8708" w14:textId="77777777" w:rsidR="002A3076" w:rsidRPr="002A3076" w:rsidRDefault="00443ADA" w:rsidP="002A3076">
            <w:pPr>
              <w:pStyle w:val="CommentText"/>
              <w:rPr>
                <w:rFonts w:cs="Arial"/>
                <w:lang w:val="en-GB"/>
              </w:rPr>
            </w:pPr>
            <w:r w:rsidRPr="002A3076">
              <w:rPr>
                <w:rFonts w:cs="Arial"/>
                <w:lang w:val="en-GB"/>
              </w:rPr>
              <w:t>ISDA definition: Recital 7 indicates that ‘liquidity providers’ means ‘firms that hold themselves out as being willing to deal on own account, and which provide liquidity as part of their normal business activity, whether or not they have formal agreements in place or commit to providing liquidity on a continuous basis’. Other references to ‘market makers’ in MiFID2/MiFIR and the associated technical standards indicate that a ‘market maker’ is a firm under a binding written agreement or an obligation to provide liquidity.</w:t>
            </w:r>
            <w:r w:rsidR="002A3076" w:rsidRPr="002A3076">
              <w:rPr>
                <w:rFonts w:cs="Arial"/>
                <w:lang w:val="en-GB"/>
              </w:rPr>
              <w:t xml:space="preserve"> </w:t>
            </w:r>
          </w:p>
          <w:p w14:paraId="327B00E5" w14:textId="77777777" w:rsidR="000E5596" w:rsidRDefault="002A3076" w:rsidP="002A3076">
            <w:pPr>
              <w:pStyle w:val="CommentText"/>
              <w:rPr>
                <w:rFonts w:cs="Arial"/>
              </w:rPr>
            </w:pPr>
            <w:r w:rsidRPr="002A3076">
              <w:rPr>
                <w:rFonts w:cs="Arial"/>
              </w:rPr>
              <w:t>Relevant for instruments not subject to the trading obligation. A firm could fall into the category of “other liquidity provider”, in which case they would be required to provide RTS 27 reports however they will only have to publish information on financial instruments not subject to the trading obligation (given that they are not categorised as trading venues).</w:t>
            </w:r>
          </w:p>
          <w:p w14:paraId="33DE1381" w14:textId="77777777" w:rsidR="002A3076" w:rsidRPr="002A3076" w:rsidRDefault="002A3076" w:rsidP="002A3076">
            <w:pPr>
              <w:pStyle w:val="CommentText"/>
              <w:rPr>
                <w:rFonts w:cs="Arial"/>
              </w:rPr>
            </w:pPr>
          </w:p>
        </w:tc>
      </w:tr>
      <w:tr w:rsidR="000E5596" w:rsidRPr="00080375" w14:paraId="03A59ACB" w14:textId="77777777" w:rsidTr="003977AF">
        <w:trPr>
          <w:cantSplit/>
        </w:trPr>
        <w:tc>
          <w:tcPr>
            <w:tcW w:w="3828" w:type="dxa"/>
            <w:vAlign w:val="center"/>
          </w:tcPr>
          <w:p w14:paraId="15A35C7D" w14:textId="77777777" w:rsidR="000E5596" w:rsidRPr="00080375" w:rsidRDefault="00831122" w:rsidP="00B97219">
            <w:pPr>
              <w:pStyle w:val="BodyText"/>
              <w:rPr>
                <w:rFonts w:cs="Arial"/>
                <w:lang w:val="en-GB"/>
              </w:rPr>
            </w:pPr>
            <w:r w:rsidRPr="00995AAB">
              <w:rPr>
                <w:rFonts w:cs="Arial"/>
                <w:b/>
                <w:bCs/>
                <w:lang w:val="en-GB"/>
              </w:rPr>
              <w:t>Voided Transaction</w:t>
            </w:r>
          </w:p>
        </w:tc>
        <w:tc>
          <w:tcPr>
            <w:tcW w:w="1843" w:type="dxa"/>
            <w:vAlign w:val="center"/>
          </w:tcPr>
          <w:p w14:paraId="371FF317" w14:textId="77777777" w:rsidR="000E5596" w:rsidRPr="00080375" w:rsidRDefault="00BB2955" w:rsidP="00B97219">
            <w:pPr>
              <w:pStyle w:val="BodyText"/>
              <w:rPr>
                <w:rFonts w:cs="Arial"/>
                <w:lang w:val="en-GB"/>
              </w:rPr>
            </w:pPr>
            <w:r w:rsidRPr="00080375">
              <w:rPr>
                <w:rFonts w:cs="Arial"/>
                <w:lang w:val="en-GB"/>
              </w:rPr>
              <w:t>FIX Trading Community</w:t>
            </w:r>
          </w:p>
        </w:tc>
        <w:tc>
          <w:tcPr>
            <w:tcW w:w="3969" w:type="dxa"/>
            <w:vAlign w:val="center"/>
          </w:tcPr>
          <w:p w14:paraId="5FBD7E5D" w14:textId="2140D645" w:rsidR="000E5596" w:rsidRPr="00080375" w:rsidRDefault="00831122" w:rsidP="00B97219">
            <w:pPr>
              <w:pStyle w:val="BodyText"/>
              <w:rPr>
                <w:rFonts w:cs="Arial"/>
                <w:lang w:val="en-GB"/>
              </w:rPr>
            </w:pPr>
            <w:r w:rsidRPr="00995AAB">
              <w:rPr>
                <w:rFonts w:cs="Arial"/>
                <w:lang w:val="en-GB"/>
              </w:rPr>
              <w:t xml:space="preserve">A Voided Transaction is a trade that is cancelled because it was erroneous in nature or breached the rules of the </w:t>
            </w:r>
            <w:r w:rsidRPr="00035962">
              <w:rPr>
                <w:rFonts w:cs="Arial"/>
                <w:lang w:val="en-GB"/>
              </w:rPr>
              <w:t>trading venue</w:t>
            </w:r>
            <w:r w:rsidRPr="00995AAB">
              <w:rPr>
                <w:rFonts w:cs="Arial"/>
                <w:lang w:val="en-GB"/>
              </w:rPr>
              <w:t xml:space="preserve"> and the transaction is then treated as if it never happened.</w:t>
            </w:r>
            <w:r w:rsidR="004A0172">
              <w:rPr>
                <w:rFonts w:cs="Arial"/>
                <w:lang w:val="en-GB"/>
              </w:rPr>
              <w:t xml:space="preserve"> This is not applicable wh</w:t>
            </w:r>
            <w:r w:rsidR="000C45F7">
              <w:rPr>
                <w:rFonts w:cs="Arial"/>
                <w:lang w:val="en-GB"/>
              </w:rPr>
              <w:t>e</w:t>
            </w:r>
            <w:r w:rsidR="004A0172">
              <w:rPr>
                <w:rFonts w:cs="Arial"/>
                <w:lang w:val="en-GB"/>
              </w:rPr>
              <w:t>re the client executes on an SI or with a MM or OLP</w:t>
            </w:r>
          </w:p>
        </w:tc>
      </w:tr>
      <w:tr w:rsidR="00962865" w:rsidRPr="00080375" w14:paraId="56E5614E" w14:textId="77777777" w:rsidTr="003977AF">
        <w:trPr>
          <w:cantSplit/>
        </w:trPr>
        <w:tc>
          <w:tcPr>
            <w:tcW w:w="3828" w:type="dxa"/>
            <w:vAlign w:val="center"/>
          </w:tcPr>
          <w:p w14:paraId="03300B88" w14:textId="77777777" w:rsidR="00962865" w:rsidRDefault="00962865" w:rsidP="00B97219">
            <w:pPr>
              <w:pStyle w:val="BodyText"/>
              <w:rPr>
                <w:rFonts w:cs="Arial"/>
                <w:b/>
                <w:bCs/>
                <w:lang w:val="en-GB"/>
              </w:rPr>
            </w:pPr>
            <w:r>
              <w:rPr>
                <w:rFonts w:cs="Arial"/>
                <w:b/>
                <w:bCs/>
                <w:lang w:val="en-GB"/>
              </w:rPr>
              <w:t>Outage</w:t>
            </w:r>
          </w:p>
        </w:tc>
        <w:tc>
          <w:tcPr>
            <w:tcW w:w="1843" w:type="dxa"/>
            <w:vAlign w:val="center"/>
          </w:tcPr>
          <w:p w14:paraId="65371335" w14:textId="77777777" w:rsidR="00962865" w:rsidRPr="00080375" w:rsidRDefault="00962865" w:rsidP="00B97219">
            <w:pPr>
              <w:pStyle w:val="BodyText"/>
              <w:rPr>
                <w:rFonts w:cs="Arial"/>
                <w:lang w:val="en-GB"/>
              </w:rPr>
            </w:pPr>
            <w:r w:rsidRPr="00080375">
              <w:rPr>
                <w:rFonts w:cs="Arial"/>
                <w:lang w:val="en-GB"/>
              </w:rPr>
              <w:t>FIX Trading Community</w:t>
            </w:r>
          </w:p>
        </w:tc>
        <w:tc>
          <w:tcPr>
            <w:tcW w:w="3969" w:type="dxa"/>
            <w:vAlign w:val="center"/>
          </w:tcPr>
          <w:p w14:paraId="0CE8B7F1" w14:textId="77777777" w:rsidR="00962865" w:rsidRPr="00080375" w:rsidRDefault="006551F2">
            <w:pPr>
              <w:pStyle w:val="BodyText"/>
              <w:rPr>
                <w:rFonts w:cs="Arial"/>
                <w:lang w:val="en-GB"/>
              </w:rPr>
            </w:pPr>
            <w:r>
              <w:rPr>
                <w:rFonts w:cs="Arial"/>
                <w:lang w:val="en-GB"/>
              </w:rPr>
              <w:t>An outage is where one or more Financial Instruments are prevented from being quoted and/or traded due to a technical malfunction or failure.</w:t>
            </w:r>
          </w:p>
        </w:tc>
      </w:tr>
      <w:tr w:rsidR="00704F5F" w:rsidRPr="00080375" w14:paraId="59ED1E35" w14:textId="77777777" w:rsidTr="003977AF">
        <w:trPr>
          <w:cantSplit/>
        </w:trPr>
        <w:tc>
          <w:tcPr>
            <w:tcW w:w="3828" w:type="dxa"/>
            <w:vAlign w:val="center"/>
          </w:tcPr>
          <w:p w14:paraId="38D2D57D" w14:textId="77777777" w:rsidR="00704F5F" w:rsidRPr="00080375" w:rsidRDefault="000E6FDC" w:rsidP="00B97219">
            <w:pPr>
              <w:pStyle w:val="BodyText"/>
              <w:rPr>
                <w:rFonts w:cs="Arial"/>
                <w:b/>
                <w:bCs/>
                <w:lang w:val="en-GB"/>
              </w:rPr>
            </w:pPr>
            <w:r>
              <w:rPr>
                <w:rFonts w:cs="Arial"/>
                <w:b/>
                <w:bCs/>
                <w:lang w:val="en-GB"/>
              </w:rPr>
              <w:t>Interruption</w:t>
            </w:r>
          </w:p>
        </w:tc>
        <w:tc>
          <w:tcPr>
            <w:tcW w:w="1843" w:type="dxa"/>
            <w:vAlign w:val="center"/>
          </w:tcPr>
          <w:p w14:paraId="0B54E252" w14:textId="77777777" w:rsidR="00704F5F" w:rsidRPr="00080375" w:rsidRDefault="00962865" w:rsidP="00B97219">
            <w:pPr>
              <w:pStyle w:val="BodyText"/>
              <w:rPr>
                <w:rFonts w:cs="Arial"/>
                <w:lang w:val="en-GB"/>
              </w:rPr>
            </w:pPr>
            <w:r w:rsidRPr="00080375">
              <w:rPr>
                <w:rFonts w:cs="Arial"/>
                <w:lang w:val="en-GB"/>
              </w:rPr>
              <w:t>FIX Trading Community</w:t>
            </w:r>
          </w:p>
        </w:tc>
        <w:tc>
          <w:tcPr>
            <w:tcW w:w="3969" w:type="dxa"/>
            <w:vAlign w:val="center"/>
          </w:tcPr>
          <w:p w14:paraId="527B2952" w14:textId="77777777" w:rsidR="00704F5F" w:rsidRPr="00080375" w:rsidRDefault="006551F2">
            <w:pPr>
              <w:pStyle w:val="BodyText"/>
              <w:rPr>
                <w:rFonts w:cs="Arial"/>
                <w:lang w:val="en-GB"/>
              </w:rPr>
            </w:pPr>
            <w:r>
              <w:rPr>
                <w:rFonts w:cs="Arial"/>
                <w:lang w:val="en-GB"/>
              </w:rPr>
              <w:t>An interruption is where one or more Financial Instruments are momentarily prevented from being quoted and/or traded due to an automatic or manual decision. This decision is often linked to volatility or other exceptional market conditions.</w:t>
            </w:r>
          </w:p>
        </w:tc>
      </w:tr>
      <w:tr w:rsidR="00704F5F" w:rsidRPr="00080375" w14:paraId="5AE64B48" w14:textId="77777777" w:rsidTr="003977AF">
        <w:trPr>
          <w:cantSplit/>
        </w:trPr>
        <w:tc>
          <w:tcPr>
            <w:tcW w:w="3828" w:type="dxa"/>
            <w:vAlign w:val="center"/>
          </w:tcPr>
          <w:p w14:paraId="78ACB4E9" w14:textId="77777777" w:rsidR="00704F5F" w:rsidRPr="00080375" w:rsidRDefault="00567DFD" w:rsidP="00B97219">
            <w:pPr>
              <w:pStyle w:val="BodyText"/>
              <w:rPr>
                <w:rFonts w:cs="Arial"/>
                <w:b/>
                <w:bCs/>
                <w:lang w:val="en-GB"/>
              </w:rPr>
            </w:pPr>
            <w:r>
              <w:rPr>
                <w:rFonts w:cs="Arial"/>
                <w:b/>
                <w:bCs/>
                <w:lang w:val="en-GB"/>
              </w:rPr>
              <w:t>Suspension</w:t>
            </w:r>
          </w:p>
        </w:tc>
        <w:tc>
          <w:tcPr>
            <w:tcW w:w="1843" w:type="dxa"/>
            <w:vAlign w:val="center"/>
          </w:tcPr>
          <w:p w14:paraId="14A550CC" w14:textId="77777777" w:rsidR="00704F5F" w:rsidRPr="00080375" w:rsidRDefault="00962865" w:rsidP="00B97219">
            <w:pPr>
              <w:pStyle w:val="BodyText"/>
              <w:rPr>
                <w:rFonts w:cs="Arial"/>
                <w:lang w:val="en-GB"/>
              </w:rPr>
            </w:pPr>
            <w:r w:rsidRPr="00080375">
              <w:rPr>
                <w:rFonts w:cs="Arial"/>
                <w:lang w:val="en-GB"/>
              </w:rPr>
              <w:t>FIX Trading Community</w:t>
            </w:r>
          </w:p>
        </w:tc>
        <w:tc>
          <w:tcPr>
            <w:tcW w:w="3969" w:type="dxa"/>
            <w:vAlign w:val="center"/>
          </w:tcPr>
          <w:p w14:paraId="25196938" w14:textId="77777777" w:rsidR="00704F5F" w:rsidRPr="00080375" w:rsidRDefault="00962865" w:rsidP="00B97219">
            <w:pPr>
              <w:pStyle w:val="BodyText"/>
              <w:rPr>
                <w:rFonts w:cs="Arial"/>
                <w:lang w:val="en-GB"/>
              </w:rPr>
            </w:pPr>
            <w:r>
              <w:rPr>
                <w:rFonts w:cs="Arial"/>
                <w:lang w:val="en-GB"/>
              </w:rPr>
              <w:t xml:space="preserve">A suspension is where a Financial Instrument is deliberately prevented from being quoted </w:t>
            </w:r>
            <w:r w:rsidR="00B73073">
              <w:rPr>
                <w:rFonts w:cs="Arial"/>
                <w:lang w:val="en-GB"/>
              </w:rPr>
              <w:t>and/</w:t>
            </w:r>
            <w:r>
              <w:rPr>
                <w:rFonts w:cs="Arial"/>
                <w:lang w:val="en-GB"/>
              </w:rPr>
              <w:t xml:space="preserve">or traded </w:t>
            </w:r>
            <w:r w:rsidR="00B73073">
              <w:rPr>
                <w:rFonts w:cs="Arial"/>
                <w:lang w:val="en-GB"/>
              </w:rPr>
              <w:t xml:space="preserve">for a period of time </w:t>
            </w:r>
            <w:r>
              <w:rPr>
                <w:rFonts w:cs="Arial"/>
                <w:lang w:val="en-GB"/>
              </w:rPr>
              <w:t>due to a decision taken by the Execution Venue or National Competent Authority</w:t>
            </w:r>
            <w:r w:rsidR="00B73073">
              <w:rPr>
                <w:rFonts w:cs="Arial"/>
                <w:lang w:val="en-GB"/>
              </w:rPr>
              <w:t xml:space="preserve">. This decision is often linked to the status of the </w:t>
            </w:r>
            <w:r w:rsidR="002C5A6A">
              <w:rPr>
                <w:rFonts w:cs="Arial"/>
                <w:lang w:val="en-GB"/>
              </w:rPr>
              <w:t xml:space="preserve">Financial Instrument </w:t>
            </w:r>
            <w:r w:rsidR="00B73073">
              <w:rPr>
                <w:rFonts w:cs="Arial"/>
                <w:lang w:val="en-GB"/>
              </w:rPr>
              <w:t>issuer</w:t>
            </w:r>
            <w:r w:rsidR="002C5A6A">
              <w:rPr>
                <w:rFonts w:cs="Arial"/>
                <w:lang w:val="en-GB"/>
              </w:rPr>
              <w:t>.</w:t>
            </w:r>
          </w:p>
        </w:tc>
      </w:tr>
    </w:tbl>
    <w:p w14:paraId="4D452CA7" w14:textId="77777777" w:rsidR="00640B1F" w:rsidRPr="00080375" w:rsidRDefault="00790133" w:rsidP="00595D9C">
      <w:pPr>
        <w:pStyle w:val="Heading1"/>
        <w:rPr>
          <w:lang w:val="en-GB"/>
        </w:rPr>
      </w:pPr>
      <w:bookmarkStart w:id="10" w:name="_Toc495562547"/>
      <w:r w:rsidRPr="00080375">
        <w:rPr>
          <w:lang w:val="en-GB"/>
        </w:rPr>
        <w:lastRenderedPageBreak/>
        <w:t>Executive Summary</w:t>
      </w:r>
      <w:bookmarkEnd w:id="10"/>
    </w:p>
    <w:p w14:paraId="71CEF2D5" w14:textId="77777777" w:rsidR="00595D9C" w:rsidRPr="00080375" w:rsidRDefault="00595D9C" w:rsidP="003704FE">
      <w:pPr>
        <w:pBdr>
          <w:top w:val="double" w:sz="4" w:space="1" w:color="008000"/>
          <w:left w:val="double" w:sz="4" w:space="4" w:color="008000"/>
          <w:bottom w:val="double" w:sz="4" w:space="1" w:color="008000"/>
          <w:right w:val="double" w:sz="4" w:space="4" w:color="008000"/>
        </w:pBdr>
        <w:rPr>
          <w:rFonts w:cs="Arial"/>
          <w:vanish/>
          <w:color w:val="008000"/>
          <w:szCs w:val="20"/>
          <w:lang w:val="en-GB"/>
        </w:rPr>
      </w:pPr>
      <w:r w:rsidRPr="00080375">
        <w:rPr>
          <w:rFonts w:cs="Arial"/>
          <w:vanish/>
          <w:color w:val="008000"/>
          <w:szCs w:val="20"/>
          <w:lang w:val="en-GB"/>
        </w:rPr>
        <w:t>Provide an introduction to the content, purpose</w:t>
      </w:r>
      <w:r w:rsidR="00583464" w:rsidRPr="00080375">
        <w:rPr>
          <w:rFonts w:cs="Arial"/>
          <w:vanish/>
          <w:color w:val="008000"/>
          <w:szCs w:val="20"/>
          <w:lang w:val="en-GB"/>
        </w:rPr>
        <w:t>,</w:t>
      </w:r>
      <w:r w:rsidRPr="00080375">
        <w:rPr>
          <w:rFonts w:cs="Arial"/>
          <w:vanish/>
          <w:color w:val="008000"/>
          <w:szCs w:val="20"/>
          <w:lang w:val="en-GB"/>
        </w:rPr>
        <w:t xml:space="preserve"> or impetus of the proposal</w:t>
      </w:r>
      <w:r w:rsidR="00583464" w:rsidRPr="00080375">
        <w:rPr>
          <w:rFonts w:cs="Arial"/>
          <w:vanish/>
          <w:color w:val="008000"/>
          <w:szCs w:val="20"/>
          <w:lang w:val="en-GB"/>
        </w:rPr>
        <w:t>;</w:t>
      </w:r>
      <w:r w:rsidRPr="00080375">
        <w:rPr>
          <w:rFonts w:cs="Arial"/>
          <w:vanish/>
          <w:color w:val="008000"/>
          <w:szCs w:val="20"/>
          <w:lang w:val="en-GB"/>
        </w:rPr>
        <w:t xml:space="preserve"> the business need</w:t>
      </w:r>
      <w:r w:rsidR="00D1601F" w:rsidRPr="00080375">
        <w:rPr>
          <w:rFonts w:cs="Arial"/>
          <w:vanish/>
          <w:color w:val="008000"/>
          <w:szCs w:val="20"/>
          <w:lang w:val="en-GB"/>
        </w:rPr>
        <w:t xml:space="preserve"> </w:t>
      </w:r>
      <w:r w:rsidRPr="00080375">
        <w:rPr>
          <w:rFonts w:cs="Arial"/>
          <w:vanish/>
          <w:color w:val="008000"/>
          <w:szCs w:val="20"/>
          <w:lang w:val="en-GB"/>
        </w:rPr>
        <w:t>/</w:t>
      </w:r>
      <w:r w:rsidR="00D1601F" w:rsidRPr="00080375">
        <w:rPr>
          <w:rFonts w:cs="Arial"/>
          <w:vanish/>
          <w:color w:val="008000"/>
          <w:szCs w:val="20"/>
          <w:lang w:val="en-GB"/>
        </w:rPr>
        <w:t xml:space="preserve"> </w:t>
      </w:r>
      <w:r w:rsidRPr="00080375">
        <w:rPr>
          <w:rFonts w:cs="Arial"/>
          <w:vanish/>
          <w:color w:val="008000"/>
          <w:szCs w:val="20"/>
          <w:lang w:val="en-GB"/>
        </w:rPr>
        <w:t>problem being solved</w:t>
      </w:r>
      <w:r w:rsidR="00583464" w:rsidRPr="00080375">
        <w:rPr>
          <w:rFonts w:cs="Arial"/>
          <w:vanish/>
          <w:color w:val="008000"/>
          <w:szCs w:val="20"/>
          <w:lang w:val="en-GB"/>
        </w:rPr>
        <w:t>;</w:t>
      </w:r>
      <w:r w:rsidR="002E7FCD" w:rsidRPr="00080375">
        <w:rPr>
          <w:rFonts w:cs="Arial"/>
          <w:vanish/>
          <w:color w:val="008000"/>
          <w:szCs w:val="20"/>
          <w:lang w:val="en-GB"/>
        </w:rPr>
        <w:t xml:space="preserve"> and the scope</w:t>
      </w:r>
      <w:r w:rsidRPr="00080375">
        <w:rPr>
          <w:rFonts w:cs="Arial"/>
          <w:vanish/>
          <w:color w:val="008000"/>
          <w:szCs w:val="20"/>
          <w:lang w:val="en-GB"/>
        </w:rPr>
        <w:t>.</w:t>
      </w:r>
      <w:r w:rsidR="007F233D" w:rsidRPr="00080375">
        <w:rPr>
          <w:rFonts w:cs="Arial"/>
          <w:vanish/>
          <w:color w:val="008000"/>
          <w:szCs w:val="20"/>
          <w:lang w:val="en-GB"/>
        </w:rPr>
        <w:t xml:space="preserve">  </w:t>
      </w:r>
      <w:r w:rsidR="00583464" w:rsidRPr="00080375">
        <w:rPr>
          <w:rFonts w:cs="Arial"/>
          <w:vanish/>
          <w:color w:val="008000"/>
          <w:szCs w:val="20"/>
          <w:lang w:val="en-GB"/>
        </w:rPr>
        <w:t>Include and label a</w:t>
      </w:r>
      <w:r w:rsidR="007F233D" w:rsidRPr="00080375">
        <w:rPr>
          <w:rFonts w:cs="Arial"/>
          <w:vanish/>
          <w:color w:val="008000"/>
          <w:szCs w:val="20"/>
          <w:lang w:val="en-GB"/>
        </w:rPr>
        <w:t>ny referenc</w:t>
      </w:r>
      <w:r w:rsidR="00BF2B75" w:rsidRPr="00080375">
        <w:rPr>
          <w:rFonts w:cs="Arial"/>
          <w:vanish/>
          <w:color w:val="008000"/>
          <w:szCs w:val="20"/>
          <w:lang w:val="en-GB"/>
        </w:rPr>
        <w:t>e</w:t>
      </w:r>
      <w:r w:rsidR="00583464" w:rsidRPr="00080375">
        <w:rPr>
          <w:rFonts w:cs="Arial"/>
          <w:vanish/>
          <w:color w:val="008000"/>
          <w:szCs w:val="20"/>
          <w:lang w:val="en-GB"/>
        </w:rPr>
        <w:t>s</w:t>
      </w:r>
      <w:r w:rsidR="007F233D" w:rsidRPr="00080375">
        <w:rPr>
          <w:rFonts w:cs="Arial"/>
          <w:vanish/>
          <w:color w:val="008000"/>
          <w:szCs w:val="20"/>
          <w:lang w:val="en-GB"/>
        </w:rPr>
        <w:t xml:space="preserve">, </w:t>
      </w:r>
      <w:r w:rsidR="00E90785" w:rsidRPr="00080375">
        <w:rPr>
          <w:rFonts w:cs="Arial"/>
          <w:vanish/>
          <w:color w:val="008000"/>
          <w:szCs w:val="20"/>
          <w:lang w:val="en-GB"/>
        </w:rPr>
        <w:t>supporting documentation</w:t>
      </w:r>
      <w:r w:rsidR="00D1601F" w:rsidRPr="00080375">
        <w:rPr>
          <w:rFonts w:cs="Arial"/>
          <w:vanish/>
          <w:color w:val="008000"/>
          <w:szCs w:val="20"/>
          <w:lang w:val="en-GB"/>
        </w:rPr>
        <w:t>,</w:t>
      </w:r>
      <w:r w:rsidR="007F233D" w:rsidRPr="00080375">
        <w:rPr>
          <w:rFonts w:cs="Arial"/>
          <w:vanish/>
          <w:color w:val="008000"/>
          <w:szCs w:val="20"/>
          <w:lang w:val="en-GB"/>
        </w:rPr>
        <w:t xml:space="preserve"> and related proposal</w:t>
      </w:r>
      <w:r w:rsidR="00BF2B75" w:rsidRPr="00080375">
        <w:rPr>
          <w:rFonts w:cs="Arial"/>
          <w:vanish/>
          <w:color w:val="008000"/>
          <w:szCs w:val="20"/>
          <w:lang w:val="en-GB"/>
        </w:rPr>
        <w:t>s</w:t>
      </w:r>
      <w:r w:rsidR="00E90785" w:rsidRPr="00080375">
        <w:rPr>
          <w:rFonts w:cs="Arial"/>
          <w:vanish/>
          <w:color w:val="008000"/>
          <w:szCs w:val="20"/>
          <w:lang w:val="en-GB"/>
        </w:rPr>
        <w:t>.</w:t>
      </w:r>
      <w:r w:rsidR="00BF2B75" w:rsidRPr="00080375">
        <w:rPr>
          <w:rFonts w:cs="Arial"/>
          <w:vanish/>
          <w:color w:val="008000"/>
          <w:szCs w:val="20"/>
          <w:lang w:val="en-GB"/>
        </w:rPr>
        <w:t xml:space="preserve">  If the proposal is based on existing implementations</w:t>
      </w:r>
      <w:r w:rsidR="00D1601F" w:rsidRPr="00080375">
        <w:rPr>
          <w:rFonts w:cs="Arial"/>
          <w:vanish/>
          <w:color w:val="008000"/>
          <w:szCs w:val="20"/>
          <w:lang w:val="en-GB"/>
        </w:rPr>
        <w:t>,</w:t>
      </w:r>
      <w:r w:rsidR="00BF2B75" w:rsidRPr="00080375">
        <w:rPr>
          <w:rFonts w:cs="Arial"/>
          <w:vanish/>
          <w:color w:val="008000"/>
          <w:szCs w:val="20"/>
          <w:lang w:val="en-GB"/>
        </w:rPr>
        <w:t xml:space="preserve"> describe</w:t>
      </w:r>
      <w:r w:rsidR="00583464" w:rsidRPr="00080375">
        <w:rPr>
          <w:rFonts w:cs="Arial"/>
          <w:vanish/>
          <w:color w:val="008000"/>
          <w:szCs w:val="20"/>
          <w:lang w:val="en-GB"/>
        </w:rPr>
        <w:t xml:space="preserve"> them</w:t>
      </w:r>
      <w:r w:rsidR="00BF2B75" w:rsidRPr="00080375">
        <w:rPr>
          <w:rFonts w:cs="Arial"/>
          <w:vanish/>
          <w:color w:val="008000"/>
          <w:szCs w:val="20"/>
          <w:lang w:val="en-GB"/>
        </w:rPr>
        <w:t xml:space="preserve"> here </w:t>
      </w:r>
      <w:r w:rsidR="00D1601F" w:rsidRPr="00080375">
        <w:rPr>
          <w:rFonts w:cs="Arial"/>
          <w:vanish/>
          <w:color w:val="008000"/>
          <w:szCs w:val="20"/>
          <w:lang w:val="en-GB"/>
        </w:rPr>
        <w:t>in</w:t>
      </w:r>
      <w:r w:rsidR="00BF2B75" w:rsidRPr="00080375">
        <w:rPr>
          <w:rFonts w:cs="Arial"/>
          <w:vanish/>
          <w:color w:val="008000"/>
          <w:szCs w:val="20"/>
          <w:lang w:val="en-GB"/>
        </w:rPr>
        <w:t xml:space="preserve"> </w:t>
      </w:r>
      <w:r w:rsidR="00583464" w:rsidRPr="00080375">
        <w:rPr>
          <w:rFonts w:cs="Arial"/>
          <w:vanish/>
          <w:color w:val="008000"/>
          <w:szCs w:val="20"/>
          <w:lang w:val="en-GB"/>
        </w:rPr>
        <w:t xml:space="preserve">the </w:t>
      </w:r>
      <w:r w:rsidR="00D1601F" w:rsidRPr="00080375">
        <w:rPr>
          <w:rFonts w:cs="Arial"/>
          <w:vanish/>
          <w:color w:val="008000"/>
          <w:szCs w:val="20"/>
          <w:lang w:val="en-GB"/>
        </w:rPr>
        <w:t xml:space="preserve">appropriate </w:t>
      </w:r>
      <w:r w:rsidR="00BF2B75" w:rsidRPr="00080375">
        <w:rPr>
          <w:rFonts w:cs="Arial"/>
          <w:vanish/>
          <w:color w:val="008000"/>
          <w:szCs w:val="20"/>
          <w:lang w:val="en-GB"/>
        </w:rPr>
        <w:t>subsection</w:t>
      </w:r>
      <w:r w:rsidR="00D1601F" w:rsidRPr="00080375">
        <w:rPr>
          <w:rFonts w:cs="Arial"/>
          <w:vanish/>
          <w:color w:val="008000"/>
          <w:szCs w:val="20"/>
          <w:lang w:val="en-GB"/>
        </w:rPr>
        <w:t>s</w:t>
      </w:r>
      <w:r w:rsidR="00BF2B75" w:rsidRPr="00080375">
        <w:rPr>
          <w:rFonts w:cs="Arial"/>
          <w:vanish/>
          <w:color w:val="008000"/>
          <w:szCs w:val="20"/>
          <w:lang w:val="en-GB"/>
        </w:rPr>
        <w:t>.</w:t>
      </w:r>
    </w:p>
    <w:p w14:paraId="2B46D25C" w14:textId="77777777" w:rsidR="00BF2B75" w:rsidRPr="00080375" w:rsidRDefault="00BF2B75" w:rsidP="00172ACC">
      <w:pPr>
        <w:pStyle w:val="BodyText"/>
        <w:rPr>
          <w:rFonts w:cs="Arial"/>
          <w:lang w:val="en-GB"/>
        </w:rPr>
      </w:pPr>
    </w:p>
    <w:p w14:paraId="5700EC5C" w14:textId="77777777" w:rsidR="00BF2B75" w:rsidRPr="00080375" w:rsidRDefault="00A9172B" w:rsidP="007252D9">
      <w:pPr>
        <w:pStyle w:val="BodyText"/>
        <w:spacing w:after="100" w:afterAutospacing="1"/>
        <w:rPr>
          <w:rFonts w:cs="Arial"/>
          <w:szCs w:val="20"/>
          <w:lang w:val="en-GB"/>
        </w:rPr>
      </w:pPr>
      <w:r w:rsidRPr="00080375">
        <w:rPr>
          <w:rFonts w:cs="Arial"/>
          <w:szCs w:val="20"/>
          <w:lang w:val="en-GB"/>
        </w:rPr>
        <w:t>While</w:t>
      </w:r>
      <w:r w:rsidR="0028760A" w:rsidRPr="00080375">
        <w:rPr>
          <w:rFonts w:cs="Arial"/>
          <w:szCs w:val="20"/>
          <w:lang w:val="en-GB"/>
        </w:rPr>
        <w:t xml:space="preserve"> the concept of Best Execution for the European Financial Markets</w:t>
      </w:r>
      <w:r w:rsidRPr="00080375">
        <w:rPr>
          <w:rFonts w:cs="Arial"/>
          <w:szCs w:val="20"/>
          <w:lang w:val="en-GB"/>
        </w:rPr>
        <w:t xml:space="preserve"> was introduced back in 2007</w:t>
      </w:r>
      <w:r w:rsidR="005B6E59" w:rsidRPr="00080375">
        <w:rPr>
          <w:rFonts w:cs="Arial"/>
          <w:szCs w:val="20"/>
          <w:lang w:val="en-GB"/>
        </w:rPr>
        <w:t xml:space="preserve"> under MiFID I, MiFID II has now introduced new requirements on what data must be published to the market to help firms comply with their Best Execution mandate.</w:t>
      </w:r>
    </w:p>
    <w:p w14:paraId="59787690" w14:textId="7925E961" w:rsidR="005B6E59" w:rsidRDefault="005B6E59" w:rsidP="00035962">
      <w:r w:rsidRPr="004A0172">
        <w:rPr>
          <w:rFonts w:cs="Arial"/>
          <w:szCs w:val="20"/>
        </w:rPr>
        <w:t xml:space="preserve">While this Best Execution mandate principally applies to Investment Firms only looking after </w:t>
      </w:r>
      <w:r w:rsidR="006F09E9" w:rsidRPr="004A0172">
        <w:rPr>
          <w:rFonts w:cs="Arial"/>
          <w:szCs w:val="20"/>
        </w:rPr>
        <w:t xml:space="preserve">clients classified as Retail or Professional under the MiFID rules, the data publication requirements </w:t>
      </w:r>
      <w:r w:rsidR="0083143A" w:rsidRPr="004A0172">
        <w:rPr>
          <w:rFonts w:cs="Arial"/>
          <w:szCs w:val="20"/>
        </w:rPr>
        <w:t>published by ESMA on 28</w:t>
      </w:r>
      <w:r w:rsidR="0083143A" w:rsidRPr="004A0172">
        <w:rPr>
          <w:rFonts w:cs="Arial"/>
          <w:szCs w:val="20"/>
          <w:vertAlign w:val="superscript"/>
        </w:rPr>
        <w:t>th</w:t>
      </w:r>
      <w:r w:rsidR="0083143A" w:rsidRPr="004A0172">
        <w:rPr>
          <w:rFonts w:cs="Arial"/>
          <w:szCs w:val="20"/>
        </w:rPr>
        <w:t xml:space="preserve"> September 2015 under the regulatory technical standards </w:t>
      </w:r>
      <w:r w:rsidR="006F09E9" w:rsidRPr="004A0172">
        <w:rPr>
          <w:rFonts w:cs="Arial"/>
          <w:szCs w:val="20"/>
        </w:rPr>
        <w:t>apply to a much broader community.</w:t>
      </w:r>
      <w:r w:rsidR="003433CE">
        <w:rPr>
          <w:rFonts w:cs="Arial"/>
          <w:szCs w:val="20"/>
        </w:rPr>
        <w:t xml:space="preserve">  </w:t>
      </w:r>
      <w:r w:rsidR="003433CE">
        <w:rPr>
          <w:lang w:val="en-GB"/>
        </w:rPr>
        <w:t xml:space="preserve">Please note that any reference to Buy-Side or Sell-Side through out the document refers to </w:t>
      </w:r>
      <w:r w:rsidR="003433CE" w:rsidRPr="00321061">
        <w:rPr>
          <w:b/>
          <w:u w:val="single"/>
          <w:lang w:val="en-GB"/>
        </w:rPr>
        <w:t>Investment Firms subject to the MiFID II obligations only.</w:t>
      </w:r>
    </w:p>
    <w:p w14:paraId="45237ED1" w14:textId="77777777" w:rsidR="003433CE" w:rsidRPr="00035962" w:rsidRDefault="003433CE" w:rsidP="00035962"/>
    <w:p w14:paraId="7D6956CA" w14:textId="77777777" w:rsidR="00DC7D7C" w:rsidRPr="00080375" w:rsidRDefault="006F09E9" w:rsidP="007252D9">
      <w:pPr>
        <w:pStyle w:val="BodyText"/>
        <w:spacing w:after="100" w:afterAutospacing="1"/>
        <w:rPr>
          <w:rFonts w:cs="Arial"/>
          <w:szCs w:val="20"/>
          <w:lang w:val="en-GB"/>
        </w:rPr>
      </w:pPr>
      <w:r w:rsidRPr="00080375">
        <w:rPr>
          <w:rFonts w:cs="Arial"/>
          <w:szCs w:val="20"/>
          <w:lang w:val="en-GB"/>
        </w:rPr>
        <w:t>This document will explain which entities must report under these new requirements, what data they must publish, how often</w:t>
      </w:r>
      <w:r w:rsidR="00E376DF" w:rsidRPr="00080375">
        <w:rPr>
          <w:rFonts w:cs="Arial"/>
          <w:szCs w:val="20"/>
          <w:lang w:val="en-GB"/>
        </w:rPr>
        <w:t xml:space="preserve"> and provide clarity as to how these reports apply to different scenarios based on the entity, their role in the trading workflow and the trading model they employ.</w:t>
      </w:r>
    </w:p>
    <w:p w14:paraId="4D33737A" w14:textId="77777777" w:rsidR="00E376DF" w:rsidRPr="00080375" w:rsidRDefault="00E376DF" w:rsidP="007252D9">
      <w:pPr>
        <w:pStyle w:val="BodyText"/>
        <w:spacing w:after="100" w:afterAutospacing="1"/>
        <w:rPr>
          <w:rFonts w:cs="Arial"/>
          <w:szCs w:val="20"/>
          <w:lang w:val="en-GB"/>
        </w:rPr>
      </w:pPr>
      <w:r w:rsidRPr="00080375">
        <w:rPr>
          <w:rFonts w:cs="Arial"/>
          <w:szCs w:val="20"/>
          <w:lang w:val="en-GB"/>
        </w:rPr>
        <w:t xml:space="preserve">There are </w:t>
      </w:r>
      <w:r w:rsidR="007A2D2F">
        <w:rPr>
          <w:rFonts w:cs="Arial"/>
          <w:szCs w:val="20"/>
          <w:lang w:val="en-GB"/>
        </w:rPr>
        <w:t>3</w:t>
      </w:r>
      <w:r w:rsidR="007A2D2F" w:rsidRPr="00080375">
        <w:rPr>
          <w:rFonts w:cs="Arial"/>
          <w:szCs w:val="20"/>
          <w:lang w:val="en-GB"/>
        </w:rPr>
        <w:t xml:space="preserve"> </w:t>
      </w:r>
      <w:r w:rsidRPr="00080375">
        <w:rPr>
          <w:rFonts w:cs="Arial"/>
          <w:szCs w:val="20"/>
          <w:lang w:val="en-GB"/>
        </w:rPr>
        <w:t>main reporting requirements:</w:t>
      </w:r>
    </w:p>
    <w:p w14:paraId="49E1DEF8" w14:textId="6FC4E8AA" w:rsidR="00E376DF" w:rsidRPr="00080375" w:rsidRDefault="00E376DF" w:rsidP="00A9410B">
      <w:pPr>
        <w:pStyle w:val="BodyText"/>
        <w:numPr>
          <w:ilvl w:val="0"/>
          <w:numId w:val="4"/>
        </w:numPr>
        <w:spacing w:after="100" w:afterAutospacing="1"/>
        <w:rPr>
          <w:rFonts w:cs="Arial"/>
          <w:szCs w:val="20"/>
          <w:lang w:val="en-GB"/>
        </w:rPr>
      </w:pPr>
      <w:r w:rsidRPr="00080375">
        <w:rPr>
          <w:rFonts w:cs="Arial"/>
          <w:szCs w:val="20"/>
          <w:lang w:val="en-GB"/>
        </w:rPr>
        <w:t xml:space="preserve">RTS 27: </w:t>
      </w:r>
      <w:r w:rsidR="0083143A" w:rsidRPr="00080375">
        <w:rPr>
          <w:rFonts w:cs="Arial"/>
          <w:szCs w:val="20"/>
          <w:lang w:val="en-GB"/>
        </w:rPr>
        <w:t>t</w:t>
      </w:r>
      <w:r w:rsidR="002E16F8" w:rsidRPr="00080375">
        <w:rPr>
          <w:rFonts w:cs="Arial"/>
          <w:szCs w:val="20"/>
          <w:lang w:val="en-GB"/>
        </w:rPr>
        <w:t>he data to be published by venues on the quality of execution of transactions</w:t>
      </w:r>
      <w:r w:rsidR="00D70C1F" w:rsidRPr="00080375">
        <w:rPr>
          <w:rFonts w:cs="Arial"/>
          <w:szCs w:val="20"/>
          <w:lang w:val="en-GB"/>
        </w:rPr>
        <w:t xml:space="preserve"> including investment firms operating as a Systematic Internaliser</w:t>
      </w:r>
      <w:r w:rsidR="005E4D1E">
        <w:rPr>
          <w:rFonts w:cs="Arial"/>
          <w:szCs w:val="20"/>
          <w:lang w:val="en-GB"/>
        </w:rPr>
        <w:t xml:space="preserve"> or as a Organised Trading Facility (OTF) for non-equity instruments</w:t>
      </w:r>
    </w:p>
    <w:p w14:paraId="7933AD27" w14:textId="48E8B58A" w:rsidR="006F09E9" w:rsidRDefault="002E16F8" w:rsidP="00A9410B">
      <w:pPr>
        <w:pStyle w:val="BodyText"/>
        <w:numPr>
          <w:ilvl w:val="0"/>
          <w:numId w:val="4"/>
        </w:numPr>
        <w:spacing w:after="100" w:afterAutospacing="1"/>
        <w:rPr>
          <w:rFonts w:cs="Arial"/>
          <w:szCs w:val="20"/>
          <w:lang w:val="en-GB"/>
        </w:rPr>
      </w:pPr>
      <w:r w:rsidRPr="00080375">
        <w:rPr>
          <w:rFonts w:cs="Arial"/>
          <w:szCs w:val="20"/>
          <w:lang w:val="en-GB"/>
        </w:rPr>
        <w:t>RTS 28</w:t>
      </w:r>
      <w:r w:rsidR="0083143A" w:rsidRPr="00080375">
        <w:rPr>
          <w:rFonts w:cs="Arial"/>
          <w:szCs w:val="20"/>
          <w:lang w:val="en-GB"/>
        </w:rPr>
        <w:t>: t</w:t>
      </w:r>
      <w:r w:rsidR="00A7298A" w:rsidRPr="00080375">
        <w:rPr>
          <w:rFonts w:cs="Arial"/>
          <w:szCs w:val="20"/>
          <w:lang w:val="en-GB"/>
        </w:rPr>
        <w:t>he data to be published by investment firms on the identity of execution venues used and on the quality of execution</w:t>
      </w:r>
      <w:r w:rsidR="00890127">
        <w:rPr>
          <w:rFonts w:cs="Arial"/>
          <w:szCs w:val="20"/>
          <w:lang w:val="en-GB"/>
        </w:rPr>
        <w:t>, p</w:t>
      </w:r>
      <w:r w:rsidR="00890127">
        <w:t>lus a summary of the analysis and conclusions drawn from monitoring the quality of  execution provided by the venues it used</w:t>
      </w:r>
      <w:r w:rsidR="00BD6B40">
        <w:t>, including itself when executing using its own Systematic Internaliser</w:t>
      </w:r>
      <w:r w:rsidR="005E4D1E">
        <w:t xml:space="preserve"> or </w:t>
      </w:r>
      <w:r w:rsidR="00BE7F6D">
        <w:t>other</w:t>
      </w:r>
      <w:r w:rsidR="005E4D1E">
        <w:t xml:space="preserve"> liquidity provider</w:t>
      </w:r>
      <w:r w:rsidR="00890127">
        <w:t>.</w:t>
      </w:r>
    </w:p>
    <w:p w14:paraId="4E86A1EF" w14:textId="7A00C65C" w:rsidR="007A2D2F" w:rsidRPr="00080375" w:rsidRDefault="002A3076" w:rsidP="00A9410B">
      <w:pPr>
        <w:pStyle w:val="BodyText"/>
        <w:numPr>
          <w:ilvl w:val="0"/>
          <w:numId w:val="4"/>
        </w:numPr>
        <w:spacing w:after="100" w:afterAutospacing="1"/>
        <w:rPr>
          <w:rFonts w:cs="Arial"/>
          <w:szCs w:val="20"/>
          <w:lang w:val="en-GB"/>
        </w:rPr>
      </w:pPr>
      <w:r>
        <w:rPr>
          <w:rFonts w:cs="Arial"/>
          <w:bCs/>
          <w:szCs w:val="20"/>
          <w:lang w:val="en-GB"/>
        </w:rPr>
        <w:t xml:space="preserve">Delegated Act 2398 </w:t>
      </w:r>
      <w:r w:rsidR="007A2D2F" w:rsidRPr="00995AAB">
        <w:rPr>
          <w:rFonts w:cs="Arial"/>
          <w:bCs/>
          <w:szCs w:val="20"/>
          <w:lang w:val="en-GB"/>
        </w:rPr>
        <w:t xml:space="preserve">Article 65 of MIFIR; the data to be published by investment firms on the identity </w:t>
      </w:r>
      <w:r w:rsidR="007A2D2F">
        <w:rPr>
          <w:rFonts w:cs="Arial"/>
          <w:bCs/>
          <w:szCs w:val="20"/>
          <w:lang w:val="en-GB"/>
        </w:rPr>
        <w:t xml:space="preserve">of the </w:t>
      </w:r>
      <w:r w:rsidR="007A2D2F" w:rsidRPr="007A2D2F">
        <w:rPr>
          <w:rFonts w:cs="Arial"/>
          <w:szCs w:val="20"/>
          <w:lang w:val="en-GB"/>
        </w:rPr>
        <w:t xml:space="preserve">top five </w:t>
      </w:r>
      <w:r w:rsidR="007A2D2F">
        <w:rPr>
          <w:rFonts w:cs="Arial"/>
          <w:szCs w:val="20"/>
          <w:lang w:val="en-GB"/>
        </w:rPr>
        <w:t>brokers</w:t>
      </w:r>
      <w:r w:rsidR="007A2D2F" w:rsidRPr="007A2D2F">
        <w:rPr>
          <w:rFonts w:cs="Arial"/>
          <w:szCs w:val="20"/>
          <w:lang w:val="en-GB"/>
        </w:rPr>
        <w:t xml:space="preserve"> in terms of trading volumes where it transmitted orders </w:t>
      </w:r>
      <w:r w:rsidR="00D35A38">
        <w:rPr>
          <w:rFonts w:cs="Arial"/>
          <w:szCs w:val="20"/>
          <w:lang w:val="en-GB"/>
        </w:rPr>
        <w:t>or placed orders which resulted</w:t>
      </w:r>
      <w:r w:rsidR="00BD6B40">
        <w:rPr>
          <w:rFonts w:cs="Arial"/>
          <w:szCs w:val="20"/>
          <w:lang w:val="en-GB"/>
        </w:rPr>
        <w:t xml:space="preserve"> in an execution </w:t>
      </w:r>
      <w:r w:rsidR="007A2D2F" w:rsidRPr="007A2D2F">
        <w:rPr>
          <w:rFonts w:cs="Arial"/>
          <w:szCs w:val="20"/>
          <w:lang w:val="en-GB"/>
        </w:rPr>
        <w:t>and this should be consistent with the information published under RTS 28</w:t>
      </w:r>
      <w:r>
        <w:rPr>
          <w:rFonts w:cs="Arial"/>
          <w:szCs w:val="20"/>
          <w:lang w:val="en-GB"/>
        </w:rPr>
        <w:t>.</w:t>
      </w:r>
    </w:p>
    <w:p w14:paraId="1DFF35E7" w14:textId="77777777" w:rsidR="00A7298A" w:rsidRPr="00080375" w:rsidRDefault="00A7298A" w:rsidP="007252D9">
      <w:pPr>
        <w:pStyle w:val="BodyText"/>
        <w:spacing w:after="100" w:afterAutospacing="1"/>
        <w:rPr>
          <w:rFonts w:cs="Arial"/>
          <w:szCs w:val="20"/>
          <w:lang w:val="en-GB"/>
        </w:rPr>
      </w:pPr>
      <w:r w:rsidRPr="00080375">
        <w:rPr>
          <w:rFonts w:cs="Arial"/>
          <w:szCs w:val="20"/>
          <w:lang w:val="en-GB"/>
        </w:rPr>
        <w:t>It is important to note that execution venue in</w:t>
      </w:r>
      <w:r w:rsidR="0031002B" w:rsidRPr="00080375">
        <w:rPr>
          <w:rFonts w:cs="Arial"/>
          <w:szCs w:val="20"/>
          <w:lang w:val="en-GB"/>
        </w:rPr>
        <w:t>cludes Regulated Markets (RM), Multi</w:t>
      </w:r>
      <w:r w:rsidRPr="00080375">
        <w:rPr>
          <w:rFonts w:cs="Arial"/>
          <w:szCs w:val="20"/>
          <w:lang w:val="en-GB"/>
        </w:rPr>
        <w:t>lateral Trading Facilities</w:t>
      </w:r>
      <w:r w:rsidR="0031002B" w:rsidRPr="00080375">
        <w:rPr>
          <w:rFonts w:cs="Arial"/>
          <w:szCs w:val="20"/>
          <w:lang w:val="en-GB"/>
        </w:rPr>
        <w:t xml:space="preserve"> (MTF), Organised Trading Facilities (OTF), Systematic Internalisers (SI), Market Makers and Liquidity Providers regardless of whether these entities are bound to provide Best Execution</w:t>
      </w:r>
      <w:r w:rsidR="00C03DC2" w:rsidRPr="00080375">
        <w:rPr>
          <w:rFonts w:cs="Arial"/>
          <w:szCs w:val="20"/>
          <w:lang w:val="en-GB"/>
        </w:rPr>
        <w:t xml:space="preserve"> or not</w:t>
      </w:r>
      <w:r w:rsidR="0031002B" w:rsidRPr="00080375">
        <w:rPr>
          <w:rFonts w:cs="Arial"/>
          <w:szCs w:val="20"/>
          <w:lang w:val="en-GB"/>
        </w:rPr>
        <w:t>.</w:t>
      </w:r>
    </w:p>
    <w:p w14:paraId="62C39DDB" w14:textId="13BFB321" w:rsidR="00C03DC2" w:rsidRPr="00F842B7" w:rsidRDefault="00C03DC2" w:rsidP="007252D9">
      <w:pPr>
        <w:pStyle w:val="BodyText"/>
        <w:spacing w:after="100" w:afterAutospacing="1"/>
        <w:rPr>
          <w:rFonts w:cs="Arial"/>
          <w:b/>
          <w:szCs w:val="20"/>
          <w:u w:val="single"/>
          <w:lang w:val="en-GB"/>
        </w:rPr>
      </w:pPr>
      <w:r w:rsidRPr="00F842B7">
        <w:rPr>
          <w:rFonts w:cs="Arial"/>
          <w:b/>
          <w:szCs w:val="20"/>
          <w:u w:val="single"/>
          <w:lang w:val="en-GB"/>
        </w:rPr>
        <w:t xml:space="preserve">On that basis, these reporting requirements should be treated as a separate requirement to the </w:t>
      </w:r>
      <w:r w:rsidR="0083143A" w:rsidRPr="00F842B7">
        <w:rPr>
          <w:rFonts w:cs="Arial"/>
          <w:b/>
          <w:szCs w:val="20"/>
          <w:u w:val="single"/>
          <w:lang w:val="en-GB"/>
        </w:rPr>
        <w:t xml:space="preserve">full </w:t>
      </w:r>
      <w:r w:rsidRPr="00F842B7">
        <w:rPr>
          <w:rFonts w:cs="Arial"/>
          <w:b/>
          <w:szCs w:val="20"/>
          <w:u w:val="single"/>
          <w:lang w:val="en-GB"/>
        </w:rPr>
        <w:t xml:space="preserve">Best Execution mandate and this document will </w:t>
      </w:r>
      <w:r w:rsidR="0083143A" w:rsidRPr="00F842B7">
        <w:rPr>
          <w:rFonts w:cs="Arial"/>
          <w:b/>
          <w:szCs w:val="20"/>
          <w:u w:val="single"/>
          <w:lang w:val="en-GB"/>
        </w:rPr>
        <w:t xml:space="preserve">only </w:t>
      </w:r>
      <w:r w:rsidRPr="00F842B7">
        <w:rPr>
          <w:rFonts w:cs="Arial"/>
          <w:b/>
          <w:szCs w:val="20"/>
          <w:u w:val="single"/>
          <w:lang w:val="en-GB"/>
        </w:rPr>
        <w:t>act as a gu</w:t>
      </w:r>
      <w:r w:rsidR="0083143A" w:rsidRPr="00F842B7">
        <w:rPr>
          <w:rFonts w:cs="Arial"/>
          <w:b/>
          <w:szCs w:val="20"/>
          <w:u w:val="single"/>
          <w:lang w:val="en-GB"/>
        </w:rPr>
        <w:t xml:space="preserve">ide as to how to complete the necessary </w:t>
      </w:r>
      <w:r w:rsidRPr="00F842B7">
        <w:rPr>
          <w:rFonts w:cs="Arial"/>
          <w:b/>
          <w:szCs w:val="20"/>
          <w:u w:val="single"/>
          <w:lang w:val="en-GB"/>
        </w:rPr>
        <w:t>reports</w:t>
      </w:r>
      <w:r w:rsidR="0059764C">
        <w:rPr>
          <w:rFonts w:cs="Arial"/>
          <w:b/>
          <w:szCs w:val="20"/>
          <w:u w:val="single"/>
          <w:lang w:val="en-GB"/>
        </w:rPr>
        <w:t xml:space="preserve"> under RTS 27, 28 and Article 65</w:t>
      </w:r>
      <w:r w:rsidRPr="00F842B7">
        <w:rPr>
          <w:rFonts w:cs="Arial"/>
          <w:b/>
          <w:szCs w:val="20"/>
          <w:u w:val="single"/>
          <w:lang w:val="en-GB"/>
        </w:rPr>
        <w:t xml:space="preserve"> in a consistent and compliant way.</w:t>
      </w:r>
    </w:p>
    <w:p w14:paraId="5EE75872" w14:textId="03A9378F" w:rsidR="00634D0E" w:rsidRPr="00080375" w:rsidRDefault="00BB2955" w:rsidP="00A7298A">
      <w:pPr>
        <w:pStyle w:val="BodyText"/>
        <w:rPr>
          <w:rFonts w:cs="Arial"/>
          <w:lang w:val="en-GB"/>
        </w:rPr>
      </w:pPr>
      <w:r w:rsidRPr="00080375">
        <w:rPr>
          <w:rFonts w:cs="Arial"/>
          <w:lang w:val="en-GB"/>
        </w:rPr>
        <w:br w:type="page"/>
      </w:r>
    </w:p>
    <w:p w14:paraId="6C38EE98" w14:textId="77777777" w:rsidR="002E7FCD" w:rsidRPr="00080375" w:rsidRDefault="00790133" w:rsidP="002E7FCD">
      <w:pPr>
        <w:pStyle w:val="Heading1"/>
        <w:rPr>
          <w:lang w:val="en-GB"/>
        </w:rPr>
      </w:pPr>
      <w:bookmarkStart w:id="11" w:name="_Toc495562548"/>
      <w:r w:rsidRPr="00080375">
        <w:rPr>
          <w:lang w:val="en-GB"/>
        </w:rPr>
        <w:lastRenderedPageBreak/>
        <w:t>Objective</w:t>
      </w:r>
      <w:bookmarkEnd w:id="11"/>
    </w:p>
    <w:p w14:paraId="5F262D9C" w14:textId="77777777" w:rsidR="002E7FCD" w:rsidRPr="00080375" w:rsidRDefault="00583464" w:rsidP="003704FE">
      <w:pPr>
        <w:pBdr>
          <w:top w:val="double" w:sz="4" w:space="1" w:color="008000"/>
          <w:left w:val="double" w:sz="4" w:space="4" w:color="008000"/>
          <w:bottom w:val="double" w:sz="4" w:space="1" w:color="008000"/>
          <w:right w:val="double" w:sz="4" w:space="4" w:color="008000"/>
        </w:pBdr>
        <w:rPr>
          <w:rFonts w:cs="Arial"/>
          <w:vanish/>
          <w:color w:val="008000"/>
          <w:szCs w:val="20"/>
          <w:lang w:val="en-GB"/>
        </w:rPr>
      </w:pPr>
      <w:r w:rsidRPr="00080375">
        <w:rPr>
          <w:rFonts w:cs="Arial"/>
          <w:vanish/>
          <w:color w:val="008000"/>
          <w:szCs w:val="20"/>
          <w:lang w:val="en-GB"/>
        </w:rPr>
        <w:t>D</w:t>
      </w:r>
      <w:r w:rsidR="002E7FCD" w:rsidRPr="00080375">
        <w:rPr>
          <w:rFonts w:cs="Arial"/>
          <w:vanish/>
          <w:color w:val="008000"/>
          <w:szCs w:val="20"/>
          <w:lang w:val="en-GB"/>
        </w:rPr>
        <w:t xml:space="preserve">escribe the business problem or workflow that is the source for the proposed changes to the FIX </w:t>
      </w:r>
      <w:r w:rsidR="0031072B" w:rsidRPr="00080375">
        <w:rPr>
          <w:rFonts w:cs="Arial"/>
          <w:vanish/>
          <w:color w:val="008000"/>
          <w:szCs w:val="20"/>
          <w:lang w:val="en-GB"/>
        </w:rPr>
        <w:t>P</w:t>
      </w:r>
      <w:r w:rsidR="002E7FCD" w:rsidRPr="00080375">
        <w:rPr>
          <w:rFonts w:cs="Arial"/>
          <w:vanish/>
          <w:color w:val="008000"/>
          <w:szCs w:val="20"/>
          <w:lang w:val="en-GB"/>
        </w:rPr>
        <w:t>rotocol.  The de</w:t>
      </w:r>
      <w:r w:rsidR="00D1601F" w:rsidRPr="00080375">
        <w:rPr>
          <w:rFonts w:cs="Arial"/>
          <w:vanish/>
          <w:color w:val="008000"/>
          <w:szCs w:val="20"/>
          <w:lang w:val="en-GB"/>
        </w:rPr>
        <w:t>s</w:t>
      </w:r>
      <w:r w:rsidR="002E7FCD" w:rsidRPr="00080375">
        <w:rPr>
          <w:rFonts w:cs="Arial"/>
          <w:vanish/>
          <w:color w:val="008000"/>
          <w:szCs w:val="20"/>
          <w:lang w:val="en-GB"/>
        </w:rPr>
        <w:t xml:space="preserve">criptions should help the Global Technical Committee understand the business areas and context and should </w:t>
      </w:r>
      <w:r w:rsidRPr="00080375">
        <w:rPr>
          <w:rFonts w:cs="Arial"/>
          <w:vanish/>
          <w:color w:val="008000"/>
          <w:szCs w:val="20"/>
          <w:lang w:val="en-GB"/>
        </w:rPr>
        <w:t>use</w:t>
      </w:r>
      <w:r w:rsidR="002E7FCD" w:rsidRPr="00080375">
        <w:rPr>
          <w:rFonts w:cs="Arial"/>
          <w:vanish/>
          <w:color w:val="008000"/>
          <w:szCs w:val="20"/>
          <w:lang w:val="en-GB"/>
        </w:rPr>
        <w:t xml:space="preserve"> business or layman's terms.  Business flow diagrams </w:t>
      </w:r>
      <w:r w:rsidRPr="00080375">
        <w:rPr>
          <w:rFonts w:cs="Arial"/>
          <w:vanish/>
          <w:color w:val="008000"/>
          <w:szCs w:val="20"/>
          <w:lang w:val="en-GB"/>
        </w:rPr>
        <w:t xml:space="preserve">may </w:t>
      </w:r>
      <w:r w:rsidR="002E7FCD" w:rsidRPr="00080375">
        <w:rPr>
          <w:rFonts w:cs="Arial"/>
          <w:vanish/>
          <w:color w:val="008000"/>
          <w:szCs w:val="20"/>
          <w:lang w:val="en-GB"/>
        </w:rPr>
        <w:t>also be helpful.</w:t>
      </w:r>
    </w:p>
    <w:p w14:paraId="56B0A531" w14:textId="77777777" w:rsidR="002E7FCD" w:rsidRPr="00080375" w:rsidRDefault="006E3E2F" w:rsidP="00172ACC">
      <w:pPr>
        <w:pStyle w:val="BodyText"/>
        <w:rPr>
          <w:rFonts w:cs="Arial"/>
          <w:lang w:val="en-GB"/>
        </w:rPr>
      </w:pPr>
      <w:r w:rsidRPr="00080375">
        <w:rPr>
          <w:rFonts w:cs="Arial"/>
          <w:lang w:val="en-GB"/>
        </w:rPr>
        <w:t xml:space="preserve">The objective of this document is to provide guidance to </w:t>
      </w:r>
      <w:r w:rsidR="00F255A4" w:rsidRPr="00080375">
        <w:rPr>
          <w:rFonts w:cs="Arial"/>
          <w:lang w:val="en-GB"/>
        </w:rPr>
        <w:t>entities regulate</w:t>
      </w:r>
      <w:r w:rsidR="009A6294" w:rsidRPr="00080375">
        <w:rPr>
          <w:rFonts w:cs="Arial"/>
          <w:lang w:val="en-GB"/>
        </w:rPr>
        <w:t>d by MiFID II on how to populate the reports req</w:t>
      </w:r>
      <w:r w:rsidR="00F21845">
        <w:rPr>
          <w:rFonts w:cs="Arial"/>
          <w:lang w:val="en-GB"/>
        </w:rPr>
        <w:t xml:space="preserve">uired under MiFID II RTS 27 and </w:t>
      </w:r>
      <w:r w:rsidR="009A6294" w:rsidRPr="00080375">
        <w:rPr>
          <w:rFonts w:cs="Arial"/>
          <w:lang w:val="en-GB"/>
        </w:rPr>
        <w:t xml:space="preserve">RTS 28 with the appropriate data in a compliant and consistent manner.  </w:t>
      </w:r>
      <w:r w:rsidR="00F21845">
        <w:t xml:space="preserve">Where Article 65.6 is referenced, this is referring to </w:t>
      </w:r>
      <w:r w:rsidR="00021C94">
        <w:t xml:space="preserve">the additional obligations under </w:t>
      </w:r>
      <w:r w:rsidR="00F21845">
        <w:t>MiFID II Delegated Regulation (DA 2398) Article 65 Paragraph 6. </w:t>
      </w:r>
    </w:p>
    <w:p w14:paraId="51BE3BBD" w14:textId="335FBAD6" w:rsidR="002E7FCD" w:rsidRPr="00021C94" w:rsidRDefault="00DB5387" w:rsidP="00021C94">
      <w:pPr>
        <w:pStyle w:val="Heading1"/>
        <w:rPr>
          <w:lang w:val="en-GB"/>
        </w:rPr>
      </w:pPr>
      <w:bookmarkStart w:id="12" w:name="_Toc495562549"/>
      <w:r w:rsidRPr="00080375">
        <w:rPr>
          <w:lang w:val="en-GB"/>
        </w:rPr>
        <w:t xml:space="preserve">Document </w:t>
      </w:r>
      <w:r w:rsidR="00790133" w:rsidRPr="00080375">
        <w:rPr>
          <w:lang w:val="en-GB"/>
        </w:rPr>
        <w:t>Scope</w:t>
      </w:r>
      <w:bookmarkEnd w:id="12"/>
    </w:p>
    <w:p w14:paraId="0A06B3EE" w14:textId="77777777" w:rsidR="002E7FCD" w:rsidRPr="00080375" w:rsidRDefault="006A0524" w:rsidP="00172ACC">
      <w:pPr>
        <w:pStyle w:val="BodyText"/>
        <w:rPr>
          <w:rFonts w:cs="Arial"/>
          <w:lang w:val="en-GB"/>
        </w:rPr>
      </w:pPr>
      <w:r w:rsidRPr="00080375">
        <w:rPr>
          <w:rFonts w:cs="Arial"/>
          <w:lang w:val="en-GB"/>
        </w:rPr>
        <w:t>The scope of this document will address:</w:t>
      </w:r>
    </w:p>
    <w:p w14:paraId="3E316503" w14:textId="77777777" w:rsidR="006A0524" w:rsidRPr="00080375" w:rsidRDefault="00CC26DB" w:rsidP="00A9410B">
      <w:pPr>
        <w:pStyle w:val="BodyText"/>
        <w:numPr>
          <w:ilvl w:val="0"/>
          <w:numId w:val="2"/>
        </w:numPr>
        <w:rPr>
          <w:rFonts w:cs="Arial"/>
          <w:lang w:val="en-GB"/>
        </w:rPr>
      </w:pPr>
      <w:r w:rsidRPr="00080375">
        <w:rPr>
          <w:rFonts w:cs="Arial"/>
          <w:lang w:val="en-GB"/>
        </w:rPr>
        <w:t>RTS 27: The data to be published by execution venues on the quality of execution of transactions, including:</w:t>
      </w:r>
    </w:p>
    <w:p w14:paraId="07FCFCBC" w14:textId="77777777" w:rsidR="00CC26DB" w:rsidRPr="00080375" w:rsidRDefault="00CC26DB" w:rsidP="00A9410B">
      <w:pPr>
        <w:pStyle w:val="BodyText"/>
        <w:numPr>
          <w:ilvl w:val="1"/>
          <w:numId w:val="2"/>
        </w:numPr>
        <w:rPr>
          <w:rFonts w:cs="Arial"/>
          <w:lang w:val="en-GB"/>
        </w:rPr>
      </w:pPr>
      <w:r w:rsidRPr="00080375">
        <w:rPr>
          <w:rFonts w:cs="Arial"/>
          <w:lang w:val="en-GB"/>
        </w:rPr>
        <w:t xml:space="preserve">The types of entity that are included </w:t>
      </w:r>
      <w:r w:rsidR="000727B8" w:rsidRPr="00080375">
        <w:rPr>
          <w:rFonts w:cs="Arial"/>
          <w:lang w:val="en-GB"/>
        </w:rPr>
        <w:t>under the definition of an execution venue</w:t>
      </w:r>
      <w:r w:rsidR="000D0093" w:rsidRPr="00080375">
        <w:rPr>
          <w:rFonts w:cs="Arial"/>
          <w:lang w:val="en-GB"/>
        </w:rPr>
        <w:t xml:space="preserve"> and must publish this data</w:t>
      </w:r>
    </w:p>
    <w:p w14:paraId="0F786735" w14:textId="77777777" w:rsidR="00BB2955" w:rsidRPr="00080375" w:rsidRDefault="004C65CD" w:rsidP="00A9410B">
      <w:pPr>
        <w:pStyle w:val="BodyText"/>
        <w:numPr>
          <w:ilvl w:val="1"/>
          <w:numId w:val="2"/>
        </w:numPr>
        <w:rPr>
          <w:rFonts w:cs="Arial"/>
          <w:lang w:val="en-GB"/>
        </w:rPr>
      </w:pPr>
      <w:r w:rsidRPr="00080375">
        <w:rPr>
          <w:rFonts w:cs="Arial"/>
          <w:lang w:val="en-GB"/>
        </w:rPr>
        <w:t>The Frequency of Reporting</w:t>
      </w:r>
    </w:p>
    <w:p w14:paraId="191C047E" w14:textId="77777777" w:rsidR="001F6EE1" w:rsidRPr="00080375" w:rsidRDefault="001F6EE1" w:rsidP="00A9410B">
      <w:pPr>
        <w:pStyle w:val="BodyText"/>
        <w:numPr>
          <w:ilvl w:val="1"/>
          <w:numId w:val="2"/>
        </w:numPr>
        <w:rPr>
          <w:rFonts w:cs="Arial"/>
          <w:lang w:val="en-GB"/>
        </w:rPr>
      </w:pPr>
      <w:r w:rsidRPr="00080375">
        <w:rPr>
          <w:rFonts w:cs="Arial"/>
          <w:lang w:val="en-GB"/>
        </w:rPr>
        <w:t xml:space="preserve">The scope and resolution of </w:t>
      </w:r>
      <w:r w:rsidR="00221AC6" w:rsidRPr="00080375">
        <w:rPr>
          <w:rFonts w:cs="Arial"/>
          <w:lang w:val="en-GB"/>
        </w:rPr>
        <w:t>reporting by instrument</w:t>
      </w:r>
    </w:p>
    <w:p w14:paraId="62E51E01" w14:textId="77777777" w:rsidR="000727B8" w:rsidRPr="00080375" w:rsidRDefault="001F6EE1" w:rsidP="00A9410B">
      <w:pPr>
        <w:pStyle w:val="BodyText"/>
        <w:numPr>
          <w:ilvl w:val="1"/>
          <w:numId w:val="2"/>
        </w:numPr>
        <w:rPr>
          <w:rFonts w:cs="Arial"/>
          <w:lang w:val="en-GB"/>
        </w:rPr>
      </w:pPr>
      <w:r w:rsidRPr="00080375">
        <w:rPr>
          <w:rFonts w:cs="Arial"/>
          <w:lang w:val="en-GB"/>
        </w:rPr>
        <w:t>The tables that must be completed and the associated attributes based on:</w:t>
      </w:r>
    </w:p>
    <w:p w14:paraId="0ABCEA1A" w14:textId="77777777" w:rsidR="001F6EE1" w:rsidRPr="00080375" w:rsidRDefault="001F6EE1" w:rsidP="00A9410B">
      <w:pPr>
        <w:pStyle w:val="BodyText"/>
        <w:numPr>
          <w:ilvl w:val="2"/>
          <w:numId w:val="2"/>
        </w:numPr>
        <w:rPr>
          <w:rFonts w:cs="Arial"/>
          <w:lang w:val="en-GB"/>
        </w:rPr>
      </w:pPr>
      <w:r w:rsidRPr="00080375">
        <w:rPr>
          <w:rFonts w:cs="Arial"/>
          <w:lang w:val="en-GB"/>
        </w:rPr>
        <w:t>Trading Model</w:t>
      </w:r>
    </w:p>
    <w:p w14:paraId="0C6DA3D7" w14:textId="77777777" w:rsidR="001F6EE1" w:rsidRPr="00080375" w:rsidRDefault="001F6EE1" w:rsidP="00A9410B">
      <w:pPr>
        <w:pStyle w:val="BodyText"/>
        <w:numPr>
          <w:ilvl w:val="2"/>
          <w:numId w:val="2"/>
        </w:numPr>
        <w:rPr>
          <w:rFonts w:cs="Arial"/>
          <w:lang w:val="en-GB"/>
        </w:rPr>
      </w:pPr>
      <w:r w:rsidRPr="00080375">
        <w:rPr>
          <w:rFonts w:cs="Arial"/>
          <w:lang w:val="en-GB"/>
        </w:rPr>
        <w:t xml:space="preserve">Any </w:t>
      </w:r>
      <w:r w:rsidR="002C3DC0" w:rsidRPr="00080375">
        <w:rPr>
          <w:rFonts w:cs="Arial"/>
          <w:lang w:val="en-GB"/>
        </w:rPr>
        <w:t>asset class specific variations</w:t>
      </w:r>
      <w:r w:rsidR="00BD085A" w:rsidRPr="00080375">
        <w:rPr>
          <w:rFonts w:cs="Arial"/>
          <w:lang w:val="en-GB"/>
        </w:rPr>
        <w:t xml:space="preserve"> by Trading Model</w:t>
      </w:r>
    </w:p>
    <w:p w14:paraId="65333204" w14:textId="6D55F45C" w:rsidR="00BD085A" w:rsidRPr="00080375" w:rsidRDefault="009C317D" w:rsidP="00A9410B">
      <w:pPr>
        <w:pStyle w:val="BodyText"/>
        <w:numPr>
          <w:ilvl w:val="1"/>
          <w:numId w:val="2"/>
        </w:numPr>
        <w:rPr>
          <w:rFonts w:cs="Arial"/>
          <w:lang w:val="en-GB"/>
        </w:rPr>
      </w:pPr>
      <w:r>
        <w:rPr>
          <w:rFonts w:cs="Arial"/>
          <w:lang w:val="en-GB"/>
        </w:rPr>
        <w:t>While the Regulatory Technology Stand</w:t>
      </w:r>
      <w:r w:rsidR="00F05D3C">
        <w:rPr>
          <w:rFonts w:cs="Arial"/>
          <w:lang w:val="en-GB"/>
        </w:rPr>
        <w:t>ards apply to all trading scenarios, this document will look to provide c</w:t>
      </w:r>
      <w:r w:rsidR="0028760A" w:rsidRPr="00080375">
        <w:rPr>
          <w:rFonts w:cs="Arial"/>
          <w:lang w:val="en-GB"/>
        </w:rPr>
        <w:t xml:space="preserve">larifications around certain edge case scenarios or trading models that may not have been considered </w:t>
      </w:r>
      <w:r w:rsidR="00F05D3C">
        <w:rPr>
          <w:rFonts w:cs="Arial"/>
          <w:lang w:val="en-GB"/>
        </w:rPr>
        <w:t>when drafting the standards</w:t>
      </w:r>
    </w:p>
    <w:p w14:paraId="7812A528" w14:textId="77777777" w:rsidR="00CC26DB" w:rsidRPr="00080375" w:rsidRDefault="00CC26DB" w:rsidP="00A9410B">
      <w:pPr>
        <w:pStyle w:val="BodyText"/>
        <w:numPr>
          <w:ilvl w:val="0"/>
          <w:numId w:val="2"/>
        </w:numPr>
        <w:rPr>
          <w:rFonts w:cs="Arial"/>
          <w:lang w:val="en-GB"/>
        </w:rPr>
      </w:pPr>
      <w:r w:rsidRPr="00080375">
        <w:rPr>
          <w:rFonts w:cs="Arial"/>
          <w:lang w:val="en-GB"/>
        </w:rPr>
        <w:t xml:space="preserve">RTS 28: </w:t>
      </w:r>
      <w:r w:rsidR="00BB2955" w:rsidRPr="00080375">
        <w:rPr>
          <w:rFonts w:cs="Arial"/>
          <w:lang w:val="en-GB"/>
        </w:rPr>
        <w:t>The data to be published by investment firms on the identity of execution venues used and on the quality of execution, including:</w:t>
      </w:r>
    </w:p>
    <w:p w14:paraId="7E56EA56" w14:textId="77777777" w:rsidR="00BB2955" w:rsidRPr="00080375" w:rsidRDefault="00BB2955" w:rsidP="00A9410B">
      <w:pPr>
        <w:pStyle w:val="BodyText"/>
        <w:numPr>
          <w:ilvl w:val="1"/>
          <w:numId w:val="2"/>
        </w:numPr>
        <w:rPr>
          <w:rFonts w:cs="Arial"/>
          <w:lang w:val="en-GB"/>
        </w:rPr>
      </w:pPr>
      <w:r w:rsidRPr="00080375">
        <w:rPr>
          <w:rFonts w:cs="Arial"/>
          <w:lang w:val="en-GB"/>
        </w:rPr>
        <w:t xml:space="preserve">The scenarios where an investment firm will be expected to </w:t>
      </w:r>
      <w:r w:rsidR="00BF50FD" w:rsidRPr="00080375">
        <w:rPr>
          <w:rFonts w:cs="Arial"/>
          <w:lang w:val="en-GB"/>
        </w:rPr>
        <w:t>provide a report in accordance with RTS 28</w:t>
      </w:r>
    </w:p>
    <w:p w14:paraId="6768DA5A" w14:textId="77777777" w:rsidR="00BF50FD" w:rsidRPr="00080375" w:rsidRDefault="00BF50FD" w:rsidP="00A9410B">
      <w:pPr>
        <w:pStyle w:val="BodyText"/>
        <w:numPr>
          <w:ilvl w:val="1"/>
          <w:numId w:val="2"/>
        </w:numPr>
        <w:rPr>
          <w:rFonts w:cs="Arial"/>
          <w:lang w:val="en-GB"/>
        </w:rPr>
      </w:pPr>
      <w:r w:rsidRPr="00080375">
        <w:rPr>
          <w:rFonts w:cs="Arial"/>
          <w:lang w:val="en-GB"/>
        </w:rPr>
        <w:t>The Frequency of Reporting</w:t>
      </w:r>
    </w:p>
    <w:p w14:paraId="3C8DAB4D" w14:textId="77777777" w:rsidR="00BF50FD" w:rsidRPr="00080375" w:rsidRDefault="00BF50FD" w:rsidP="00A9410B">
      <w:pPr>
        <w:pStyle w:val="BodyText"/>
        <w:numPr>
          <w:ilvl w:val="1"/>
          <w:numId w:val="2"/>
        </w:numPr>
        <w:rPr>
          <w:rFonts w:cs="Arial"/>
          <w:lang w:val="en-GB"/>
        </w:rPr>
      </w:pPr>
      <w:r w:rsidRPr="00080375">
        <w:rPr>
          <w:rFonts w:cs="Arial"/>
          <w:lang w:val="en-GB"/>
        </w:rPr>
        <w:t>The scope and resolution of reporting by instrument</w:t>
      </w:r>
    </w:p>
    <w:p w14:paraId="21F18570" w14:textId="77777777" w:rsidR="00BF50FD" w:rsidRPr="00080375" w:rsidRDefault="00BF50FD" w:rsidP="00A9410B">
      <w:pPr>
        <w:pStyle w:val="BodyText"/>
        <w:numPr>
          <w:ilvl w:val="1"/>
          <w:numId w:val="2"/>
        </w:numPr>
        <w:rPr>
          <w:rFonts w:cs="Arial"/>
          <w:lang w:val="en-GB"/>
        </w:rPr>
      </w:pPr>
      <w:r w:rsidRPr="00080375">
        <w:rPr>
          <w:rFonts w:cs="Arial"/>
          <w:lang w:val="en-GB"/>
        </w:rPr>
        <w:t>The tables that must be completed and the associated attributes based on:</w:t>
      </w:r>
    </w:p>
    <w:p w14:paraId="4998D2B5" w14:textId="77777777" w:rsidR="00BF50FD" w:rsidRPr="00080375" w:rsidRDefault="00BF50FD" w:rsidP="00A9410B">
      <w:pPr>
        <w:pStyle w:val="BodyText"/>
        <w:numPr>
          <w:ilvl w:val="2"/>
          <w:numId w:val="2"/>
        </w:numPr>
        <w:rPr>
          <w:rFonts w:cs="Arial"/>
          <w:lang w:val="en-GB"/>
        </w:rPr>
      </w:pPr>
      <w:r w:rsidRPr="00080375">
        <w:rPr>
          <w:rFonts w:cs="Arial"/>
          <w:lang w:val="en-GB"/>
        </w:rPr>
        <w:t>Trading Model</w:t>
      </w:r>
    </w:p>
    <w:p w14:paraId="06D84C5D" w14:textId="77777777" w:rsidR="00BF50FD" w:rsidRPr="00080375" w:rsidRDefault="00BF50FD" w:rsidP="00A9410B">
      <w:pPr>
        <w:pStyle w:val="BodyText"/>
        <w:numPr>
          <w:ilvl w:val="2"/>
          <w:numId w:val="2"/>
        </w:numPr>
        <w:rPr>
          <w:rFonts w:cs="Arial"/>
          <w:lang w:val="en-GB"/>
        </w:rPr>
      </w:pPr>
      <w:r w:rsidRPr="00080375">
        <w:rPr>
          <w:rFonts w:cs="Arial"/>
          <w:lang w:val="en-GB"/>
        </w:rPr>
        <w:t>Any asset class specific variations by Trading Model</w:t>
      </w:r>
    </w:p>
    <w:p w14:paraId="32F640C3" w14:textId="77777777" w:rsidR="00BF50FD" w:rsidRDefault="00BF50FD" w:rsidP="00A9410B">
      <w:pPr>
        <w:pStyle w:val="BodyText"/>
        <w:numPr>
          <w:ilvl w:val="1"/>
          <w:numId w:val="2"/>
        </w:numPr>
        <w:rPr>
          <w:rFonts w:cs="Arial"/>
          <w:lang w:val="en-GB"/>
        </w:rPr>
      </w:pPr>
      <w:r w:rsidRPr="00080375">
        <w:rPr>
          <w:rFonts w:cs="Arial"/>
          <w:lang w:val="en-GB"/>
        </w:rPr>
        <w:t>Clarifications around certain edge case scenarios or trading models that may not have been considered as part of the Regulatory Technical Standards</w:t>
      </w:r>
    </w:p>
    <w:p w14:paraId="2C1F3C6D" w14:textId="0DC52BA4" w:rsidR="007A2D2F" w:rsidRDefault="00021C94" w:rsidP="00A9410B">
      <w:pPr>
        <w:pStyle w:val="BodyText"/>
        <w:numPr>
          <w:ilvl w:val="0"/>
          <w:numId w:val="2"/>
        </w:numPr>
        <w:rPr>
          <w:rFonts w:cs="Arial"/>
          <w:lang w:val="en-GB"/>
        </w:rPr>
      </w:pPr>
      <w:r>
        <w:t>MiFID II Delegated Regulation (DA 2398) Article 65 Paragraph 6</w:t>
      </w:r>
      <w:r w:rsidR="007A2D2F" w:rsidRPr="00BE4477">
        <w:rPr>
          <w:rFonts w:cs="Arial"/>
          <w:bCs/>
          <w:szCs w:val="20"/>
          <w:lang w:val="en-GB"/>
        </w:rPr>
        <w:t xml:space="preserve">; the data to be published by investment firms on the identity </w:t>
      </w:r>
      <w:r w:rsidR="007A2D2F">
        <w:rPr>
          <w:rFonts w:cs="Arial"/>
          <w:bCs/>
          <w:szCs w:val="20"/>
          <w:lang w:val="en-GB"/>
        </w:rPr>
        <w:t xml:space="preserve">of the </w:t>
      </w:r>
      <w:r w:rsidR="007A2D2F" w:rsidRPr="007A2D2F">
        <w:rPr>
          <w:rFonts w:cs="Arial"/>
          <w:szCs w:val="20"/>
          <w:lang w:val="en-GB"/>
        </w:rPr>
        <w:t xml:space="preserve">top five </w:t>
      </w:r>
      <w:r w:rsidR="007A2D2F">
        <w:rPr>
          <w:rFonts w:cs="Arial"/>
          <w:szCs w:val="20"/>
          <w:lang w:val="en-GB"/>
        </w:rPr>
        <w:t>brokers</w:t>
      </w:r>
      <w:r w:rsidR="007A2D2F" w:rsidRPr="007A2D2F">
        <w:rPr>
          <w:rFonts w:cs="Arial"/>
          <w:szCs w:val="20"/>
          <w:lang w:val="en-GB"/>
        </w:rPr>
        <w:t xml:space="preserve"> in terms of trading volumes where it transmitted orders to </w:t>
      </w:r>
      <w:r w:rsidR="00BD6B40">
        <w:rPr>
          <w:rFonts w:cs="Arial"/>
          <w:szCs w:val="20"/>
          <w:lang w:val="en-GB"/>
        </w:rPr>
        <w:t xml:space="preserve">resulting in an execution </w:t>
      </w:r>
      <w:r w:rsidR="007A2D2F" w:rsidRPr="00080375">
        <w:rPr>
          <w:rFonts w:cs="Arial"/>
          <w:lang w:val="en-GB"/>
        </w:rPr>
        <w:t>and on the quality of execution, including:</w:t>
      </w:r>
    </w:p>
    <w:p w14:paraId="455DF54B" w14:textId="77777777" w:rsidR="007A2D2F" w:rsidRPr="00080375" w:rsidRDefault="007A2D2F" w:rsidP="00A9410B">
      <w:pPr>
        <w:pStyle w:val="BodyText"/>
        <w:numPr>
          <w:ilvl w:val="1"/>
          <w:numId w:val="2"/>
        </w:numPr>
        <w:rPr>
          <w:rFonts w:cs="Arial"/>
          <w:lang w:val="en-GB"/>
        </w:rPr>
      </w:pPr>
      <w:r w:rsidRPr="00080375">
        <w:rPr>
          <w:rFonts w:cs="Arial"/>
          <w:lang w:val="en-GB"/>
        </w:rPr>
        <w:t xml:space="preserve">The scenarios where an investment firm will be expected to provide a report in accordance with </w:t>
      </w:r>
      <w:r>
        <w:rPr>
          <w:rFonts w:cs="Arial"/>
          <w:lang w:val="en-GB"/>
        </w:rPr>
        <w:t>Article 65</w:t>
      </w:r>
    </w:p>
    <w:p w14:paraId="409813F7" w14:textId="77777777" w:rsidR="007A2D2F" w:rsidRPr="00080375" w:rsidRDefault="007A2D2F" w:rsidP="00A9410B">
      <w:pPr>
        <w:pStyle w:val="BodyText"/>
        <w:numPr>
          <w:ilvl w:val="1"/>
          <w:numId w:val="2"/>
        </w:numPr>
        <w:rPr>
          <w:rFonts w:cs="Arial"/>
          <w:lang w:val="en-GB"/>
        </w:rPr>
      </w:pPr>
      <w:r w:rsidRPr="00080375">
        <w:rPr>
          <w:rFonts w:cs="Arial"/>
          <w:lang w:val="en-GB"/>
        </w:rPr>
        <w:t>The</w:t>
      </w:r>
      <w:r w:rsidR="00D33E96">
        <w:rPr>
          <w:rFonts w:cs="Arial"/>
          <w:lang w:val="en-GB"/>
        </w:rPr>
        <w:t xml:space="preserve"> frequency of r</w:t>
      </w:r>
      <w:r w:rsidRPr="00080375">
        <w:rPr>
          <w:rFonts w:cs="Arial"/>
          <w:lang w:val="en-GB"/>
        </w:rPr>
        <w:t>eporting</w:t>
      </w:r>
    </w:p>
    <w:p w14:paraId="2542BCC7" w14:textId="77777777" w:rsidR="007A2D2F" w:rsidRPr="00080375" w:rsidRDefault="007A2D2F" w:rsidP="00A9410B">
      <w:pPr>
        <w:pStyle w:val="BodyText"/>
        <w:numPr>
          <w:ilvl w:val="1"/>
          <w:numId w:val="2"/>
        </w:numPr>
        <w:rPr>
          <w:rFonts w:cs="Arial"/>
          <w:lang w:val="en-GB"/>
        </w:rPr>
      </w:pPr>
      <w:r w:rsidRPr="00080375">
        <w:rPr>
          <w:rFonts w:cs="Arial"/>
          <w:lang w:val="en-GB"/>
        </w:rPr>
        <w:t>The scope and resolution of reporting by instrument</w:t>
      </w:r>
    </w:p>
    <w:p w14:paraId="0C50F42A" w14:textId="77777777" w:rsidR="007A2D2F" w:rsidRPr="00B70C71" w:rsidRDefault="007A2D2F" w:rsidP="00A9410B">
      <w:pPr>
        <w:pStyle w:val="BodyText"/>
        <w:numPr>
          <w:ilvl w:val="1"/>
          <w:numId w:val="2"/>
        </w:numPr>
        <w:rPr>
          <w:rFonts w:cs="Arial"/>
          <w:lang w:val="en-GB"/>
        </w:rPr>
      </w:pPr>
      <w:r w:rsidRPr="00080375">
        <w:rPr>
          <w:rFonts w:cs="Arial"/>
          <w:lang w:val="en-GB"/>
        </w:rPr>
        <w:t>The tables that must be completed and the</w:t>
      </w:r>
      <w:r w:rsidR="00D33E96">
        <w:rPr>
          <w:rFonts w:cs="Arial"/>
          <w:lang w:val="en-GB"/>
        </w:rPr>
        <w:t xml:space="preserve"> associated attributes based on </w:t>
      </w:r>
      <w:r w:rsidRPr="007A2D2F">
        <w:rPr>
          <w:rFonts w:cs="Arial"/>
          <w:lang w:val="en-GB"/>
        </w:rPr>
        <w:t>asset class specific variations by Trading Model</w:t>
      </w:r>
    </w:p>
    <w:p w14:paraId="18B3A8E1" w14:textId="77777777" w:rsidR="002E7FCD" w:rsidRPr="00080375" w:rsidRDefault="00826CA5" w:rsidP="002E7FCD">
      <w:pPr>
        <w:pStyle w:val="Heading1"/>
        <w:rPr>
          <w:lang w:val="en-GB"/>
        </w:rPr>
      </w:pPr>
      <w:bookmarkStart w:id="13" w:name="_Toc495562550"/>
      <w:r w:rsidRPr="00080375">
        <w:rPr>
          <w:lang w:val="en-GB"/>
        </w:rPr>
        <w:lastRenderedPageBreak/>
        <w:t>Target Audience</w:t>
      </w:r>
      <w:bookmarkEnd w:id="13"/>
    </w:p>
    <w:p w14:paraId="3F628D5D" w14:textId="77777777" w:rsidR="00634D0E" w:rsidRPr="00995AAB" w:rsidRDefault="00634D0E" w:rsidP="00634D0E">
      <w:pPr>
        <w:rPr>
          <w:lang w:val="en-GB"/>
        </w:rPr>
      </w:pPr>
      <w:r w:rsidRPr="00995AAB">
        <w:rPr>
          <w:lang w:val="en-GB"/>
        </w:rPr>
        <w:t xml:space="preserve">This document is relevant to all venues and firms which execute, receive and transmit or place orders for execution, including portfolio managers. </w:t>
      </w:r>
    </w:p>
    <w:p w14:paraId="42D60985" w14:textId="77777777" w:rsidR="00634D0E" w:rsidRPr="00080375" w:rsidRDefault="00634D0E" w:rsidP="004842D0">
      <w:pPr>
        <w:pStyle w:val="BodyText"/>
        <w:rPr>
          <w:rFonts w:cs="Arial"/>
          <w:lang w:val="en-GB"/>
        </w:rPr>
      </w:pPr>
    </w:p>
    <w:p w14:paraId="2837F9E7" w14:textId="77777777" w:rsidR="004842D0" w:rsidRPr="00080375" w:rsidRDefault="002248AA" w:rsidP="004842D0">
      <w:pPr>
        <w:pStyle w:val="BodyText"/>
        <w:rPr>
          <w:rFonts w:cs="Arial"/>
          <w:lang w:val="en-GB"/>
        </w:rPr>
      </w:pPr>
      <w:r w:rsidRPr="00080375">
        <w:rPr>
          <w:rFonts w:cs="Arial"/>
          <w:lang w:val="en-GB"/>
        </w:rPr>
        <w:t>The Target Audience</w:t>
      </w:r>
      <w:r w:rsidR="000D0093" w:rsidRPr="00080375">
        <w:rPr>
          <w:rFonts w:cs="Arial"/>
          <w:lang w:val="en-GB"/>
        </w:rPr>
        <w:t xml:space="preserve"> includes </w:t>
      </w:r>
      <w:r w:rsidR="002C3DC0" w:rsidRPr="00080375">
        <w:rPr>
          <w:rFonts w:cs="Arial"/>
          <w:lang w:val="en-GB"/>
        </w:rPr>
        <w:t xml:space="preserve">MiFID II Change Teams, </w:t>
      </w:r>
      <w:r w:rsidR="000D0093" w:rsidRPr="00080375">
        <w:rPr>
          <w:rFonts w:cs="Arial"/>
          <w:lang w:val="en-GB"/>
        </w:rPr>
        <w:t xml:space="preserve">Business Analysts, </w:t>
      </w:r>
      <w:r w:rsidR="002C3DC0" w:rsidRPr="00080375">
        <w:rPr>
          <w:rFonts w:cs="Arial"/>
          <w:lang w:val="en-GB"/>
        </w:rPr>
        <w:t>Compliance at the following types of entity</w:t>
      </w:r>
      <w:r w:rsidR="000D0093" w:rsidRPr="00080375">
        <w:rPr>
          <w:rFonts w:cs="Arial"/>
          <w:lang w:val="en-GB"/>
        </w:rPr>
        <w:t>:</w:t>
      </w:r>
    </w:p>
    <w:p w14:paraId="067ACA72" w14:textId="77777777" w:rsidR="00AF2751" w:rsidRPr="00080375" w:rsidRDefault="000D0093" w:rsidP="00A9410B">
      <w:pPr>
        <w:pStyle w:val="BodyText"/>
        <w:numPr>
          <w:ilvl w:val="0"/>
          <w:numId w:val="3"/>
        </w:numPr>
        <w:rPr>
          <w:rFonts w:cs="Arial"/>
          <w:lang w:val="en-GB"/>
        </w:rPr>
      </w:pPr>
      <w:r w:rsidRPr="00080375">
        <w:rPr>
          <w:rFonts w:cs="Arial"/>
          <w:lang w:val="en-GB"/>
        </w:rPr>
        <w:t>RTS 27:</w:t>
      </w:r>
      <w:r w:rsidR="00396270" w:rsidRPr="00080375">
        <w:rPr>
          <w:rFonts w:cs="Arial"/>
          <w:lang w:val="en-GB"/>
        </w:rPr>
        <w:t xml:space="preserve"> </w:t>
      </w:r>
    </w:p>
    <w:p w14:paraId="2FB51B62" w14:textId="77777777" w:rsidR="00826CA5" w:rsidRPr="00080375" w:rsidRDefault="00396270" w:rsidP="00A9410B">
      <w:pPr>
        <w:pStyle w:val="BodyText"/>
        <w:numPr>
          <w:ilvl w:val="1"/>
          <w:numId w:val="3"/>
        </w:numPr>
        <w:rPr>
          <w:rFonts w:cs="Arial"/>
          <w:lang w:val="en-GB"/>
        </w:rPr>
      </w:pPr>
      <w:r w:rsidRPr="00080375">
        <w:rPr>
          <w:rFonts w:cs="Arial"/>
          <w:lang w:val="en-GB"/>
        </w:rPr>
        <w:t>Execution Venues</w:t>
      </w:r>
      <w:r w:rsidR="00705A68" w:rsidRPr="00080375">
        <w:rPr>
          <w:rFonts w:cs="Arial"/>
          <w:lang w:val="en-GB"/>
        </w:rPr>
        <w:t xml:space="preserve"> in the </w:t>
      </w:r>
      <w:r w:rsidR="00FD0336" w:rsidRPr="00080375">
        <w:rPr>
          <w:rFonts w:cs="Arial"/>
          <w:lang w:val="en-GB"/>
        </w:rPr>
        <w:t>EEA</w:t>
      </w:r>
      <w:r w:rsidRPr="00080375">
        <w:rPr>
          <w:rFonts w:cs="Arial"/>
          <w:lang w:val="en-GB"/>
        </w:rPr>
        <w:t xml:space="preserve"> which includes:</w:t>
      </w:r>
    </w:p>
    <w:p w14:paraId="51E83945" w14:textId="77777777" w:rsidR="00396270" w:rsidRPr="00080375" w:rsidRDefault="00396270" w:rsidP="00A9410B">
      <w:pPr>
        <w:pStyle w:val="BodyText"/>
        <w:numPr>
          <w:ilvl w:val="2"/>
          <w:numId w:val="3"/>
        </w:numPr>
        <w:rPr>
          <w:rFonts w:cs="Arial"/>
          <w:lang w:val="en-GB"/>
        </w:rPr>
      </w:pPr>
      <w:r w:rsidRPr="00080375">
        <w:rPr>
          <w:rFonts w:cs="Arial"/>
          <w:lang w:val="en-GB"/>
        </w:rPr>
        <w:t>Regulated Markets</w:t>
      </w:r>
    </w:p>
    <w:p w14:paraId="54E9EE85" w14:textId="77777777" w:rsidR="00396270" w:rsidRPr="00080375" w:rsidRDefault="00396270" w:rsidP="00A9410B">
      <w:pPr>
        <w:pStyle w:val="BodyText"/>
        <w:numPr>
          <w:ilvl w:val="2"/>
          <w:numId w:val="3"/>
        </w:numPr>
        <w:rPr>
          <w:rFonts w:cs="Arial"/>
          <w:lang w:val="en-GB"/>
        </w:rPr>
      </w:pPr>
      <w:r w:rsidRPr="00080375">
        <w:rPr>
          <w:rFonts w:cs="Arial"/>
          <w:lang w:val="en-GB"/>
        </w:rPr>
        <w:t>Multilateral Trading Facilities</w:t>
      </w:r>
    </w:p>
    <w:p w14:paraId="2D705815" w14:textId="701EBF43" w:rsidR="00396270" w:rsidRPr="00080375" w:rsidRDefault="005E4D1E" w:rsidP="00A9410B">
      <w:pPr>
        <w:pStyle w:val="BodyText"/>
        <w:numPr>
          <w:ilvl w:val="2"/>
          <w:numId w:val="3"/>
        </w:numPr>
        <w:rPr>
          <w:rFonts w:cs="Arial"/>
          <w:lang w:val="en-GB"/>
        </w:rPr>
      </w:pPr>
      <w:r>
        <w:rPr>
          <w:rFonts w:cs="Arial"/>
          <w:lang w:val="en-GB"/>
        </w:rPr>
        <w:t xml:space="preserve">Investment Firms acting as </w:t>
      </w:r>
      <w:r w:rsidR="00396270" w:rsidRPr="00080375">
        <w:rPr>
          <w:rFonts w:cs="Arial"/>
          <w:lang w:val="en-GB"/>
        </w:rPr>
        <w:t>Organised Trading Facilities</w:t>
      </w:r>
    </w:p>
    <w:p w14:paraId="49EFE975" w14:textId="77777777" w:rsidR="00396270" w:rsidRPr="00080375" w:rsidRDefault="00396270" w:rsidP="00A9410B">
      <w:pPr>
        <w:pStyle w:val="BodyText"/>
        <w:numPr>
          <w:ilvl w:val="2"/>
          <w:numId w:val="3"/>
        </w:numPr>
        <w:rPr>
          <w:rFonts w:cs="Arial"/>
          <w:lang w:val="en-GB"/>
        </w:rPr>
      </w:pPr>
      <w:r w:rsidRPr="00080375">
        <w:rPr>
          <w:rFonts w:cs="Arial"/>
          <w:lang w:val="en-GB"/>
        </w:rPr>
        <w:t>Investment Firms acting as Systematic Internalisers</w:t>
      </w:r>
    </w:p>
    <w:p w14:paraId="13DC0074" w14:textId="77777777" w:rsidR="00396270" w:rsidRPr="00080375" w:rsidRDefault="00396270" w:rsidP="00A9410B">
      <w:pPr>
        <w:pStyle w:val="BodyText"/>
        <w:numPr>
          <w:ilvl w:val="2"/>
          <w:numId w:val="3"/>
        </w:numPr>
        <w:rPr>
          <w:rFonts w:cs="Arial"/>
          <w:lang w:val="en-GB"/>
        </w:rPr>
      </w:pPr>
      <w:r w:rsidRPr="00080375">
        <w:rPr>
          <w:rFonts w:cs="Arial"/>
          <w:lang w:val="en-GB"/>
        </w:rPr>
        <w:t>Investment Firms acting as Market Makers</w:t>
      </w:r>
    </w:p>
    <w:p w14:paraId="7A0A1889" w14:textId="77777777" w:rsidR="00396270" w:rsidRPr="00080375" w:rsidRDefault="00396270" w:rsidP="00A9410B">
      <w:pPr>
        <w:pStyle w:val="BodyText"/>
        <w:numPr>
          <w:ilvl w:val="2"/>
          <w:numId w:val="3"/>
        </w:numPr>
        <w:rPr>
          <w:rFonts w:cs="Arial"/>
          <w:lang w:val="en-GB"/>
        </w:rPr>
      </w:pPr>
      <w:r w:rsidRPr="00080375">
        <w:rPr>
          <w:rFonts w:cs="Arial"/>
          <w:lang w:val="en-GB"/>
        </w:rPr>
        <w:t xml:space="preserve">Investment Firms acting as </w:t>
      </w:r>
      <w:r w:rsidR="00032151" w:rsidRPr="00080375">
        <w:rPr>
          <w:rFonts w:cs="Arial"/>
          <w:lang w:val="en-GB"/>
        </w:rPr>
        <w:t>Liquidity Providers</w:t>
      </w:r>
    </w:p>
    <w:p w14:paraId="705C3B06" w14:textId="77777777" w:rsidR="00AF2751" w:rsidRDefault="00AF2751" w:rsidP="00A9410B">
      <w:pPr>
        <w:pStyle w:val="BodyText"/>
        <w:numPr>
          <w:ilvl w:val="1"/>
          <w:numId w:val="3"/>
        </w:numPr>
        <w:rPr>
          <w:rFonts w:cs="Arial"/>
          <w:lang w:val="en-GB"/>
        </w:rPr>
      </w:pPr>
      <w:r w:rsidRPr="00080375">
        <w:rPr>
          <w:rFonts w:cs="Arial"/>
          <w:lang w:val="en-GB"/>
        </w:rPr>
        <w:t>Entities looking for guidance on how to interpret data published in response to RTS 27</w:t>
      </w:r>
    </w:p>
    <w:p w14:paraId="1D514DBE" w14:textId="77777777" w:rsidR="00B70C71" w:rsidRPr="00080375" w:rsidRDefault="00B70C71" w:rsidP="00995AAB">
      <w:pPr>
        <w:pStyle w:val="BodyText"/>
        <w:ind w:left="1440"/>
        <w:rPr>
          <w:rFonts w:cs="Arial"/>
          <w:lang w:val="en-GB"/>
        </w:rPr>
      </w:pPr>
    </w:p>
    <w:p w14:paraId="53202F8A" w14:textId="77777777" w:rsidR="00AF2751" w:rsidRPr="00080375" w:rsidRDefault="00032151" w:rsidP="00A9410B">
      <w:pPr>
        <w:pStyle w:val="BodyText"/>
        <w:numPr>
          <w:ilvl w:val="0"/>
          <w:numId w:val="3"/>
        </w:numPr>
        <w:rPr>
          <w:rFonts w:cs="Arial"/>
          <w:lang w:val="en-GB"/>
        </w:rPr>
      </w:pPr>
      <w:r w:rsidRPr="00080375">
        <w:rPr>
          <w:rFonts w:cs="Arial"/>
          <w:lang w:val="en-GB"/>
        </w:rPr>
        <w:t xml:space="preserve">RTS 28: </w:t>
      </w:r>
    </w:p>
    <w:p w14:paraId="14CC9FD8" w14:textId="77777777" w:rsidR="00AF2751" w:rsidRPr="00080375" w:rsidRDefault="00AF2751" w:rsidP="00A9410B">
      <w:pPr>
        <w:pStyle w:val="BodyText"/>
        <w:numPr>
          <w:ilvl w:val="1"/>
          <w:numId w:val="3"/>
        </w:numPr>
        <w:rPr>
          <w:rFonts w:cs="Arial"/>
          <w:lang w:val="en-GB"/>
        </w:rPr>
      </w:pPr>
      <w:r w:rsidRPr="00080375">
        <w:rPr>
          <w:rFonts w:cs="Arial"/>
          <w:lang w:val="en-GB"/>
        </w:rPr>
        <w:t>Investment Firms</w:t>
      </w:r>
      <w:r w:rsidR="00B70C71">
        <w:rPr>
          <w:rFonts w:cs="Arial"/>
          <w:lang w:val="en-GB"/>
        </w:rPr>
        <w:t xml:space="preserve"> executing orders on venue, or on behalf of clients</w:t>
      </w:r>
    </w:p>
    <w:p w14:paraId="091CEBBA" w14:textId="77777777" w:rsidR="00032151" w:rsidRPr="00080375" w:rsidRDefault="00AF2751" w:rsidP="00A9410B">
      <w:pPr>
        <w:pStyle w:val="BodyText"/>
        <w:numPr>
          <w:ilvl w:val="1"/>
          <w:numId w:val="3"/>
        </w:numPr>
        <w:rPr>
          <w:rFonts w:cs="Arial"/>
          <w:lang w:val="en-GB"/>
        </w:rPr>
      </w:pPr>
      <w:r w:rsidRPr="00080375">
        <w:rPr>
          <w:rFonts w:cs="Arial"/>
          <w:lang w:val="en-GB"/>
        </w:rPr>
        <w:t xml:space="preserve">Entities looking for guidance on how to interpret data published in response to RTS 28 </w:t>
      </w:r>
    </w:p>
    <w:p w14:paraId="358BF246" w14:textId="77777777" w:rsidR="00E55609" w:rsidRPr="00995AAB" w:rsidRDefault="00E55609" w:rsidP="009B0530">
      <w:pPr>
        <w:rPr>
          <w:lang w:val="en-GB"/>
        </w:rPr>
      </w:pPr>
    </w:p>
    <w:p w14:paraId="54DA27A4" w14:textId="77777777" w:rsidR="00B70C71" w:rsidRDefault="00B70C71" w:rsidP="009B0530">
      <w:pPr>
        <w:rPr>
          <w:lang w:val="en-GB"/>
        </w:rPr>
      </w:pPr>
    </w:p>
    <w:p w14:paraId="502FB1F8" w14:textId="77777777" w:rsidR="00B70C71" w:rsidRPr="00080375" w:rsidRDefault="0085189F" w:rsidP="00A9410B">
      <w:pPr>
        <w:pStyle w:val="BodyText"/>
        <w:numPr>
          <w:ilvl w:val="0"/>
          <w:numId w:val="3"/>
        </w:numPr>
        <w:rPr>
          <w:rFonts w:cs="Arial"/>
          <w:lang w:val="en-GB"/>
        </w:rPr>
      </w:pPr>
      <w:r>
        <w:t>MiFID II Delegated Regulation (DA 2398) Article 65 Paragraph 6</w:t>
      </w:r>
      <w:r w:rsidR="00B70C71" w:rsidRPr="00080375">
        <w:rPr>
          <w:rFonts w:cs="Arial"/>
          <w:lang w:val="en-GB"/>
        </w:rPr>
        <w:t xml:space="preserve">: </w:t>
      </w:r>
    </w:p>
    <w:p w14:paraId="50CB4671" w14:textId="0BBF40A5" w:rsidR="003E2447" w:rsidRDefault="003E2447" w:rsidP="00A9410B">
      <w:pPr>
        <w:pStyle w:val="BodyText"/>
        <w:numPr>
          <w:ilvl w:val="1"/>
          <w:numId w:val="3"/>
        </w:numPr>
        <w:rPr>
          <w:rFonts w:cs="Arial"/>
          <w:lang w:val="en-GB"/>
        </w:rPr>
      </w:pPr>
      <w:r w:rsidRPr="00080375">
        <w:rPr>
          <w:rFonts w:cs="Arial"/>
          <w:lang w:val="en-GB"/>
        </w:rPr>
        <w:t>Investment Firms</w:t>
      </w:r>
      <w:r>
        <w:rPr>
          <w:rFonts w:cs="Arial"/>
          <w:lang w:val="en-GB"/>
        </w:rPr>
        <w:t xml:space="preserve"> transmitting orders to other investment firms to execute on their behalf,</w:t>
      </w:r>
    </w:p>
    <w:p w14:paraId="431FA0D4" w14:textId="7496D3DC" w:rsidR="00D35A38" w:rsidRPr="00D35A38" w:rsidRDefault="00D35A38" w:rsidP="00D35A38">
      <w:pPr>
        <w:pStyle w:val="BodyText"/>
        <w:numPr>
          <w:ilvl w:val="1"/>
          <w:numId w:val="3"/>
        </w:numPr>
        <w:rPr>
          <w:rFonts w:cs="Arial"/>
          <w:lang w:val="en-GB"/>
        </w:rPr>
      </w:pPr>
      <w:r w:rsidRPr="00080375">
        <w:rPr>
          <w:rFonts w:cs="Arial"/>
          <w:lang w:val="en-GB"/>
        </w:rPr>
        <w:t>Investment Firms</w:t>
      </w:r>
      <w:r>
        <w:rPr>
          <w:rFonts w:cs="Arial"/>
          <w:lang w:val="en-GB"/>
        </w:rPr>
        <w:t xml:space="preserve"> placing orders </w:t>
      </w:r>
      <w:r w:rsidR="00321061">
        <w:rPr>
          <w:rFonts w:cs="Arial"/>
          <w:lang w:val="en-GB"/>
        </w:rPr>
        <w:t xml:space="preserve">with </w:t>
      </w:r>
      <w:r>
        <w:rPr>
          <w:rFonts w:cs="Arial"/>
          <w:lang w:val="en-GB"/>
        </w:rPr>
        <w:t>other entities to execute on their behalf</w:t>
      </w:r>
      <w:r w:rsidR="00B67495">
        <w:rPr>
          <w:rFonts w:cs="Arial"/>
          <w:lang w:val="en-GB"/>
        </w:rPr>
        <w:t>, including Third Country Firms (TCF)</w:t>
      </w:r>
      <w:r>
        <w:rPr>
          <w:rFonts w:cs="Arial"/>
          <w:lang w:val="en-GB"/>
        </w:rPr>
        <w:t>,</w:t>
      </w:r>
    </w:p>
    <w:p w14:paraId="215A449B" w14:textId="77777777" w:rsidR="003E2447" w:rsidRPr="00995AAB" w:rsidRDefault="00B70C71" w:rsidP="00A9410B">
      <w:pPr>
        <w:pStyle w:val="BodyText"/>
        <w:numPr>
          <w:ilvl w:val="1"/>
          <w:numId w:val="3"/>
        </w:numPr>
        <w:rPr>
          <w:rFonts w:cs="Arial"/>
          <w:lang w:val="en-GB"/>
        </w:rPr>
      </w:pPr>
      <w:r w:rsidRPr="00080375">
        <w:rPr>
          <w:rFonts w:cs="Arial"/>
          <w:lang w:val="en-GB"/>
        </w:rPr>
        <w:t xml:space="preserve">Entities looking for guidance on how to interpret data published in response to </w:t>
      </w:r>
      <w:r w:rsidR="003E2447">
        <w:rPr>
          <w:rFonts w:cs="Arial"/>
          <w:lang w:val="en-GB"/>
        </w:rPr>
        <w:t>Article 65</w:t>
      </w:r>
    </w:p>
    <w:p w14:paraId="1F06A2D6" w14:textId="77777777" w:rsidR="003E2447" w:rsidRPr="00080375" w:rsidRDefault="003E2447" w:rsidP="00995AAB">
      <w:pPr>
        <w:pStyle w:val="BodyText"/>
        <w:rPr>
          <w:rFonts w:cs="Arial"/>
          <w:lang w:val="en-GB"/>
        </w:rPr>
      </w:pPr>
    </w:p>
    <w:p w14:paraId="5CA1ABE1" w14:textId="77777777" w:rsidR="009B0530" w:rsidRPr="00995AAB" w:rsidRDefault="003977AF" w:rsidP="009B0530">
      <w:pPr>
        <w:rPr>
          <w:lang w:val="en-GB"/>
        </w:rPr>
      </w:pPr>
      <w:r w:rsidRPr="00995AAB">
        <w:rPr>
          <w:lang w:val="en-GB"/>
        </w:rPr>
        <w:br w:type="page"/>
      </w:r>
    </w:p>
    <w:p w14:paraId="414BC329" w14:textId="77777777" w:rsidR="00826CA5" w:rsidRPr="00080375" w:rsidRDefault="00DB5387" w:rsidP="00DB5387">
      <w:pPr>
        <w:pStyle w:val="Heading1"/>
        <w:rPr>
          <w:lang w:val="en-GB"/>
        </w:rPr>
      </w:pPr>
      <w:bookmarkStart w:id="14" w:name="_Toc495562551"/>
      <w:r w:rsidRPr="00080375">
        <w:rPr>
          <w:lang w:val="en-GB"/>
        </w:rPr>
        <w:lastRenderedPageBreak/>
        <w:t>Scope of Reporting</w:t>
      </w:r>
      <w:bookmarkEnd w:id="14"/>
    </w:p>
    <w:p w14:paraId="128ACF5E" w14:textId="77777777" w:rsidR="00DB5387" w:rsidRDefault="00655EC5" w:rsidP="007C731B">
      <w:pPr>
        <w:rPr>
          <w:lang w:val="en-GB"/>
        </w:rPr>
      </w:pPr>
      <w:r w:rsidRPr="00995AAB">
        <w:rPr>
          <w:lang w:val="en-GB"/>
        </w:rPr>
        <w:t xml:space="preserve">This section will provide a brief outline of the reporting obligations by entity type for a number of different typical scenarios based on the usual activity by asset class. </w:t>
      </w:r>
      <w:r w:rsidR="00963336" w:rsidRPr="00995AAB">
        <w:rPr>
          <w:lang w:val="en-GB"/>
        </w:rPr>
        <w:t xml:space="preserve"> </w:t>
      </w:r>
      <w:r w:rsidR="00542077" w:rsidRPr="00995AAB">
        <w:rPr>
          <w:lang w:val="en-GB"/>
        </w:rPr>
        <w:t xml:space="preserve">Each scenario is considered in isolation but, of course, </w:t>
      </w:r>
      <w:r w:rsidR="00D70C1F" w:rsidRPr="00995AAB">
        <w:rPr>
          <w:lang w:val="en-GB"/>
        </w:rPr>
        <w:t xml:space="preserve">in </w:t>
      </w:r>
      <w:r w:rsidR="00542077" w:rsidRPr="00995AAB">
        <w:rPr>
          <w:lang w:val="en-GB"/>
        </w:rPr>
        <w:t xml:space="preserve">reality will combine a number of these </w:t>
      </w:r>
      <w:r w:rsidR="00D73F36" w:rsidRPr="00995AAB">
        <w:rPr>
          <w:lang w:val="en-GB"/>
        </w:rPr>
        <w:t>scenarios for each of the asset classes</w:t>
      </w:r>
      <w:r w:rsidR="005D422E">
        <w:rPr>
          <w:lang w:val="en-GB"/>
        </w:rPr>
        <w:t>.</w:t>
      </w:r>
    </w:p>
    <w:p w14:paraId="724209F5" w14:textId="77777777" w:rsidR="002A3076" w:rsidRDefault="002A3076" w:rsidP="007C731B">
      <w:pPr>
        <w:rPr>
          <w:lang w:val="en-GB"/>
        </w:rPr>
      </w:pPr>
    </w:p>
    <w:p w14:paraId="6B5ECC09" w14:textId="3C61FCC6" w:rsidR="0048031E" w:rsidRDefault="002A3076" w:rsidP="007C731B">
      <w:pPr>
        <w:rPr>
          <w:lang w:val="en-GB"/>
        </w:rPr>
      </w:pPr>
      <w:r>
        <w:rPr>
          <w:lang w:val="en-GB"/>
        </w:rPr>
        <w:t>In the majority of cases the venue</w:t>
      </w:r>
      <w:r w:rsidR="00CF540A">
        <w:rPr>
          <w:lang w:val="en-GB"/>
        </w:rPr>
        <w:t xml:space="preserve"> will complete an RTS 27 report;</w:t>
      </w:r>
      <w:r>
        <w:rPr>
          <w:lang w:val="en-GB"/>
        </w:rPr>
        <w:t xml:space="preserve">  the MiFID Investment firm will complete an RTS 28 report when they are a member of the venue and an Article 65.6 report where the MiFID II Investment Firm has passed an order to another legal entity to execute the order on their behalf, such as the receipt and transmission of orders</w:t>
      </w:r>
      <w:r w:rsidR="00680252">
        <w:rPr>
          <w:lang w:val="en-GB"/>
        </w:rPr>
        <w:t xml:space="preserve"> or placing orders with another entity to execute on their behalf</w:t>
      </w:r>
      <w:r>
        <w:rPr>
          <w:lang w:val="en-GB"/>
        </w:rPr>
        <w:t>.</w:t>
      </w:r>
      <w:r w:rsidR="00472487">
        <w:rPr>
          <w:lang w:val="en-GB"/>
        </w:rPr>
        <w:t xml:space="preserve">  This could potentially include branches of the same organisation if they operate as a separate legal entity.</w:t>
      </w:r>
    </w:p>
    <w:p w14:paraId="0BF7B2EA" w14:textId="77777777" w:rsidR="0048031E" w:rsidRDefault="0048031E" w:rsidP="007C731B">
      <w:pPr>
        <w:rPr>
          <w:lang w:val="en-GB"/>
        </w:rPr>
      </w:pPr>
    </w:p>
    <w:p w14:paraId="7BCA2A78" w14:textId="24AD6FD8" w:rsidR="00FF14FD" w:rsidRPr="00FF14FD" w:rsidRDefault="0048031E" w:rsidP="007C731B">
      <w:pPr>
        <w:rPr>
          <w:lang w:val="en-GB"/>
        </w:rPr>
      </w:pPr>
      <w:r>
        <w:rPr>
          <w:lang w:val="en-GB"/>
        </w:rPr>
        <w:t xml:space="preserve">Where a client order enters into a proporietary trade, </w:t>
      </w:r>
      <w:r w:rsidR="00FF14FD">
        <w:rPr>
          <w:lang w:val="en-GB"/>
        </w:rPr>
        <w:t>industry consensus is to</w:t>
      </w:r>
      <w:r>
        <w:rPr>
          <w:lang w:val="en-GB"/>
        </w:rPr>
        <w:t xml:space="preserve"> acknowledge the work conducted by CESR-07-320, which cites that in certain cases proprietary trades will incur best execution obligiations. “The application or otherwise of best execution will depend on whether the execution of the client’s order can be seen as truly </w:t>
      </w:r>
      <w:r w:rsidRPr="0048031E">
        <w:rPr>
          <w:lang w:val="en-GB"/>
        </w:rPr>
        <w:t>done</w:t>
      </w:r>
      <w:r>
        <w:rPr>
          <w:i/>
          <w:lang w:val="en-GB"/>
        </w:rPr>
        <w:t xml:space="preserve"> on behalf of </w:t>
      </w:r>
      <w:r w:rsidR="00FF14FD">
        <w:rPr>
          <w:lang w:val="en-GB"/>
        </w:rPr>
        <w:t xml:space="preserve">the client” using the four-fold test.  </w:t>
      </w:r>
      <w:r w:rsidR="00FF14FD" w:rsidRPr="00FF14FD" w:rsidDel="00FF14FD">
        <w:rPr>
          <w:lang w:val="en-GB"/>
        </w:rPr>
        <w:t xml:space="preserve"> </w:t>
      </w:r>
      <w:r w:rsidR="00FF14FD">
        <w:rPr>
          <w:lang w:val="en-GB"/>
        </w:rPr>
        <w:t>The objective of this document</w:t>
      </w:r>
      <w:r w:rsidR="00D40A7C">
        <w:rPr>
          <w:lang w:val="en-GB"/>
        </w:rPr>
        <w:t xml:space="preserve"> however</w:t>
      </w:r>
      <w:r w:rsidR="00FF14FD">
        <w:rPr>
          <w:lang w:val="en-GB"/>
        </w:rPr>
        <w:t xml:space="preserve"> is </w:t>
      </w:r>
      <w:r w:rsidR="00D40A7C">
        <w:rPr>
          <w:lang w:val="en-GB"/>
        </w:rPr>
        <w:t xml:space="preserve">only </w:t>
      </w:r>
      <w:r w:rsidR="00FF14FD">
        <w:rPr>
          <w:lang w:val="en-GB"/>
        </w:rPr>
        <w:t>to determine where a report is required to be published, not whether or not best execution is owed.</w:t>
      </w:r>
    </w:p>
    <w:p w14:paraId="6E1FEC3F" w14:textId="77777777" w:rsidR="00380B5E" w:rsidRDefault="00380B5E" w:rsidP="007C731B">
      <w:pPr>
        <w:rPr>
          <w:lang w:val="en-GB"/>
        </w:rPr>
      </w:pPr>
    </w:p>
    <w:p w14:paraId="59B726CB" w14:textId="77DAB9F0" w:rsidR="00380B5E" w:rsidRPr="00B67495" w:rsidRDefault="00380B5E" w:rsidP="007C731B">
      <w:pPr>
        <w:rPr>
          <w:b/>
          <w:u w:val="single"/>
          <w:lang w:val="en-GB"/>
        </w:rPr>
      </w:pPr>
      <w:r>
        <w:rPr>
          <w:lang w:val="en-GB"/>
        </w:rPr>
        <w:t xml:space="preserve">Please note that any reference to Buy-Side or Sell-Side </w:t>
      </w:r>
      <w:r w:rsidR="00680252">
        <w:rPr>
          <w:lang w:val="en-GB"/>
        </w:rPr>
        <w:t xml:space="preserve">in this document </w:t>
      </w:r>
      <w:r>
        <w:rPr>
          <w:lang w:val="en-GB"/>
        </w:rPr>
        <w:t xml:space="preserve">refers to </w:t>
      </w:r>
      <w:r w:rsidRPr="00B67495">
        <w:rPr>
          <w:b/>
          <w:u w:val="single"/>
          <w:lang w:val="en-GB"/>
        </w:rPr>
        <w:t>Investment Firms subject to the MiFID II obligations</w:t>
      </w:r>
      <w:r w:rsidR="00680252" w:rsidRPr="00B67495">
        <w:rPr>
          <w:b/>
          <w:u w:val="single"/>
          <w:lang w:val="en-GB"/>
        </w:rPr>
        <w:t xml:space="preserve"> only</w:t>
      </w:r>
      <w:r w:rsidRPr="00B67495">
        <w:rPr>
          <w:b/>
          <w:u w:val="single"/>
          <w:lang w:val="en-GB"/>
        </w:rPr>
        <w:t>.</w:t>
      </w:r>
    </w:p>
    <w:p w14:paraId="0B7BA70A" w14:textId="77777777" w:rsidR="00B61599" w:rsidRPr="00995AAB" w:rsidRDefault="00B61599" w:rsidP="00B61599">
      <w:pPr>
        <w:pStyle w:val="Heading2"/>
        <w:rPr>
          <w:lang w:val="en-GB"/>
        </w:rPr>
      </w:pPr>
      <w:bookmarkStart w:id="15" w:name="_Toc495562552"/>
      <w:r w:rsidRPr="00995AAB">
        <w:rPr>
          <w:lang w:val="en-GB"/>
        </w:rPr>
        <w:t>Equities and Equity Type Instruments</w:t>
      </w:r>
      <w:bookmarkEnd w:id="15"/>
    </w:p>
    <w:p w14:paraId="21C3EED2" w14:textId="77777777" w:rsidR="00B61599" w:rsidRDefault="000D77B9" w:rsidP="00B61599">
      <w:pPr>
        <w:rPr>
          <w:lang w:val="en-GB"/>
        </w:rPr>
      </w:pPr>
      <w:r>
        <w:rPr>
          <w:noProof/>
        </w:rPr>
        <w:drawing>
          <wp:inline distT="0" distB="0" distL="0" distR="0" wp14:anchorId="67E9F166" wp14:editId="14DECDDE">
            <wp:extent cx="5943600" cy="11201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1120140"/>
                    </a:xfrm>
                    <a:prstGeom prst="rect">
                      <a:avLst/>
                    </a:prstGeom>
                  </pic:spPr>
                </pic:pic>
              </a:graphicData>
            </a:graphic>
          </wp:inline>
        </w:drawing>
      </w:r>
    </w:p>
    <w:p w14:paraId="447746DC" w14:textId="77777777" w:rsidR="00C21565" w:rsidRPr="00995AAB" w:rsidRDefault="00C21565" w:rsidP="00B61599">
      <w:pPr>
        <w:rPr>
          <w:lang w:val="en-GB"/>
        </w:rPr>
      </w:pPr>
    </w:p>
    <w:p w14:paraId="74ADAD00" w14:textId="05BA1977" w:rsidR="00B057C8" w:rsidRPr="00995AAB" w:rsidRDefault="00B057C8" w:rsidP="00995AAB">
      <w:pPr>
        <w:pStyle w:val="Caption"/>
        <w:rPr>
          <w:lang w:val="en-GB"/>
        </w:rPr>
      </w:pPr>
      <w:bookmarkStart w:id="16" w:name="_Ref469295879"/>
      <w:r w:rsidRPr="00995AAB">
        <w:rPr>
          <w:lang w:val="en-GB"/>
        </w:rPr>
        <w:t xml:space="preserve">Figure </w:t>
      </w:r>
      <w:r w:rsidR="007018C6" w:rsidRPr="00995AAB">
        <w:rPr>
          <w:lang w:val="en-GB"/>
        </w:rPr>
        <w:fldChar w:fldCharType="begin"/>
      </w:r>
      <w:r w:rsidRPr="00995AAB">
        <w:rPr>
          <w:lang w:val="en-GB"/>
        </w:rPr>
        <w:instrText xml:space="preserve"> SEQ Figure \* ARABIC </w:instrText>
      </w:r>
      <w:r w:rsidR="007018C6" w:rsidRPr="00995AAB">
        <w:rPr>
          <w:lang w:val="en-GB"/>
        </w:rPr>
        <w:fldChar w:fldCharType="separate"/>
      </w:r>
      <w:r w:rsidR="00F64722">
        <w:rPr>
          <w:noProof/>
          <w:lang w:val="en-GB"/>
        </w:rPr>
        <w:t>1</w:t>
      </w:r>
      <w:r w:rsidR="007018C6" w:rsidRPr="00995AAB">
        <w:rPr>
          <w:lang w:val="en-GB"/>
        </w:rPr>
        <w:fldChar w:fldCharType="end"/>
      </w:r>
      <w:bookmarkEnd w:id="16"/>
      <w:r w:rsidRPr="00995AAB">
        <w:rPr>
          <w:lang w:val="en-GB"/>
        </w:rPr>
        <w:t xml:space="preserve">: Equity Scenario </w:t>
      </w:r>
      <w:r w:rsidR="002A3076">
        <w:rPr>
          <w:lang w:val="en-GB"/>
        </w:rPr>
        <w:t>–</w:t>
      </w:r>
      <w:r w:rsidRPr="00995AAB">
        <w:rPr>
          <w:lang w:val="en-GB"/>
        </w:rPr>
        <w:t xml:space="preserve"> Agency</w:t>
      </w:r>
      <w:r w:rsidR="002A3076">
        <w:rPr>
          <w:lang w:val="en-GB"/>
        </w:rPr>
        <w:t>-style</w:t>
      </w:r>
      <w:r w:rsidRPr="00995AAB">
        <w:rPr>
          <w:lang w:val="en-GB"/>
        </w:rPr>
        <w:t xml:space="preserve"> Trading on Trading Venue</w:t>
      </w:r>
    </w:p>
    <w:p w14:paraId="45D2DA7A" w14:textId="410D6A0E" w:rsidR="00D73F36" w:rsidRPr="00995AAB" w:rsidRDefault="00D73F36" w:rsidP="00B61599">
      <w:pPr>
        <w:rPr>
          <w:lang w:val="en-GB"/>
        </w:rPr>
      </w:pPr>
      <w:r w:rsidRPr="00995AAB">
        <w:rPr>
          <w:lang w:val="en-GB"/>
        </w:rPr>
        <w:t xml:space="preserve">The first </w:t>
      </w:r>
      <w:r w:rsidR="008C4459" w:rsidRPr="00995AAB">
        <w:rPr>
          <w:lang w:val="en-GB"/>
        </w:rPr>
        <w:t xml:space="preserve">equity </w:t>
      </w:r>
      <w:r w:rsidR="005777ED" w:rsidRPr="00995AAB">
        <w:rPr>
          <w:lang w:val="en-GB"/>
        </w:rPr>
        <w:t>scenario</w:t>
      </w:r>
      <w:r w:rsidR="00B057C8" w:rsidRPr="00995AAB">
        <w:rPr>
          <w:lang w:val="en-GB"/>
        </w:rPr>
        <w:t xml:space="preserve"> in </w:t>
      </w:r>
      <w:r w:rsidR="007018C6" w:rsidRPr="00995AAB">
        <w:rPr>
          <w:lang w:val="en-GB"/>
        </w:rPr>
        <w:fldChar w:fldCharType="begin"/>
      </w:r>
      <w:r w:rsidR="00B057C8" w:rsidRPr="00995AAB">
        <w:rPr>
          <w:lang w:val="en-GB"/>
        </w:rPr>
        <w:instrText xml:space="preserve"> REF _Ref469295879 \h </w:instrText>
      </w:r>
      <w:r w:rsidR="007018C6" w:rsidRPr="00995AAB">
        <w:rPr>
          <w:lang w:val="en-GB"/>
        </w:rPr>
      </w:r>
      <w:r w:rsidR="007018C6" w:rsidRPr="00995AAB">
        <w:rPr>
          <w:lang w:val="en-GB"/>
        </w:rPr>
        <w:fldChar w:fldCharType="separate"/>
      </w:r>
      <w:r w:rsidR="00F64722" w:rsidRPr="00995AAB">
        <w:rPr>
          <w:lang w:val="en-GB"/>
        </w:rPr>
        <w:t xml:space="preserve">Figure </w:t>
      </w:r>
      <w:r w:rsidR="00F64722">
        <w:rPr>
          <w:noProof/>
          <w:lang w:val="en-GB"/>
        </w:rPr>
        <w:t>1</w:t>
      </w:r>
      <w:r w:rsidR="007018C6" w:rsidRPr="00995AAB">
        <w:rPr>
          <w:lang w:val="en-GB"/>
        </w:rPr>
        <w:fldChar w:fldCharType="end"/>
      </w:r>
      <w:r w:rsidR="00721543" w:rsidRPr="00995AAB">
        <w:rPr>
          <w:lang w:val="en-GB"/>
        </w:rPr>
        <w:t>, represents the situation where the Buy-Side firm</w:t>
      </w:r>
      <w:r w:rsidR="00B057C8" w:rsidRPr="00995AAB">
        <w:rPr>
          <w:lang w:val="en-GB"/>
        </w:rPr>
        <w:t xml:space="preserve"> uses a Sell-Side firm to get access to liquidity either on a Regulated Market (RM) or Multilateral Trading Facility (MTF). The Sell-Side firm, takes the client order and places it on the RM/MTF on their behalf. </w:t>
      </w:r>
    </w:p>
    <w:p w14:paraId="45144F5D" w14:textId="38EDFD74" w:rsidR="00D33E96" w:rsidRPr="00995AAB" w:rsidRDefault="00B057C8" w:rsidP="00A9410B">
      <w:pPr>
        <w:pStyle w:val="ListParagraph"/>
        <w:numPr>
          <w:ilvl w:val="0"/>
          <w:numId w:val="9"/>
        </w:numPr>
        <w:rPr>
          <w:rFonts w:cs="Arial"/>
          <w:szCs w:val="20"/>
          <w:lang w:val="en-GB"/>
        </w:rPr>
      </w:pPr>
      <w:r w:rsidRPr="00995AAB">
        <w:rPr>
          <w:b/>
          <w:lang w:val="en-GB"/>
        </w:rPr>
        <w:t>The Buy-Side</w:t>
      </w:r>
      <w:r w:rsidRPr="00995AAB">
        <w:rPr>
          <w:lang w:val="en-GB"/>
        </w:rPr>
        <w:t xml:space="preserve"> </w:t>
      </w:r>
      <w:r w:rsidR="00D33E96">
        <w:rPr>
          <w:lang w:val="en-GB"/>
        </w:rPr>
        <w:t>transmitting an order must produce a report</w:t>
      </w:r>
      <w:r w:rsidR="00B25785">
        <w:rPr>
          <w:lang w:val="en-GB"/>
        </w:rPr>
        <w:t xml:space="preserve"> under Article 65.6</w:t>
      </w:r>
      <w:r w:rsidRPr="00995AAB">
        <w:rPr>
          <w:lang w:val="en-GB"/>
        </w:rPr>
        <w:t xml:space="preserve"> identifying the Sell-Side Firm as one of the </w:t>
      </w:r>
      <w:r w:rsidR="00AF6F0A" w:rsidRPr="00995AAB">
        <w:rPr>
          <w:lang w:val="en-GB"/>
        </w:rPr>
        <w:t xml:space="preserve">Top 5 </w:t>
      </w:r>
      <w:r w:rsidR="00C013E9">
        <w:rPr>
          <w:rFonts w:cs="Arial"/>
          <w:szCs w:val="20"/>
          <w:lang w:val="en-GB"/>
        </w:rPr>
        <w:t>brokers</w:t>
      </w:r>
      <w:r w:rsidR="00C013E9" w:rsidRPr="007A2D2F">
        <w:rPr>
          <w:rFonts w:cs="Arial"/>
          <w:szCs w:val="20"/>
          <w:lang w:val="en-GB"/>
        </w:rPr>
        <w:t xml:space="preserve"> in terms of trading volumes where it transmitted orders to</w:t>
      </w:r>
      <w:r w:rsidR="00E85E4A">
        <w:rPr>
          <w:rFonts w:cs="Arial"/>
          <w:szCs w:val="20"/>
          <w:lang w:val="en-GB"/>
        </w:rPr>
        <w:t xml:space="preserve"> which resulted in an execution</w:t>
      </w:r>
      <w:r w:rsidR="00C013E9" w:rsidRPr="007A2D2F">
        <w:rPr>
          <w:rFonts w:cs="Arial"/>
          <w:szCs w:val="20"/>
          <w:lang w:val="en-GB"/>
        </w:rPr>
        <w:t xml:space="preserve"> </w:t>
      </w:r>
      <w:r w:rsidR="00C013E9">
        <w:rPr>
          <w:rFonts w:cs="Arial"/>
          <w:szCs w:val="20"/>
          <w:lang w:val="en-GB"/>
        </w:rPr>
        <w:t xml:space="preserve">(if it qualifies) </w:t>
      </w:r>
      <w:r w:rsidR="00C013E9" w:rsidRPr="007A2D2F">
        <w:rPr>
          <w:rFonts w:cs="Arial"/>
          <w:szCs w:val="20"/>
          <w:lang w:val="en-GB"/>
        </w:rPr>
        <w:t>and this should be consistent with the information published under RTS 28</w:t>
      </w:r>
    </w:p>
    <w:p w14:paraId="373582D8" w14:textId="77777777" w:rsidR="00AF6F0A" w:rsidRPr="00995AAB" w:rsidRDefault="00AF6F0A" w:rsidP="00A9410B">
      <w:pPr>
        <w:pStyle w:val="ListParagraph"/>
        <w:numPr>
          <w:ilvl w:val="0"/>
          <w:numId w:val="9"/>
        </w:numPr>
        <w:rPr>
          <w:lang w:val="en-GB"/>
        </w:rPr>
      </w:pPr>
      <w:r w:rsidRPr="00995AAB">
        <w:rPr>
          <w:b/>
          <w:lang w:val="en-GB"/>
        </w:rPr>
        <w:t>The Sell-Side</w:t>
      </w:r>
      <w:r w:rsidRPr="00995AAB">
        <w:rPr>
          <w:lang w:val="en-GB"/>
        </w:rPr>
        <w:t xml:space="preserve"> must generate an RTS 28 report, identifying the Trading Venue as one of the Top 5 Execution Venue</w:t>
      </w:r>
      <w:r w:rsidR="008101B2" w:rsidRPr="00995AAB">
        <w:rPr>
          <w:lang w:val="en-GB"/>
        </w:rPr>
        <w:t>s</w:t>
      </w:r>
      <w:r w:rsidRPr="00995AAB">
        <w:rPr>
          <w:lang w:val="en-GB"/>
        </w:rPr>
        <w:t xml:space="preserve"> (if it qualifies).</w:t>
      </w:r>
    </w:p>
    <w:p w14:paraId="1AE96D11" w14:textId="77777777" w:rsidR="00AF6F0A" w:rsidRPr="00995AAB" w:rsidRDefault="00AF6F0A" w:rsidP="00A9410B">
      <w:pPr>
        <w:pStyle w:val="ListParagraph"/>
        <w:numPr>
          <w:ilvl w:val="0"/>
          <w:numId w:val="9"/>
        </w:numPr>
        <w:rPr>
          <w:lang w:val="en-GB"/>
        </w:rPr>
      </w:pPr>
      <w:r w:rsidRPr="00995AAB">
        <w:rPr>
          <w:b/>
          <w:lang w:val="en-GB"/>
        </w:rPr>
        <w:t>The Trading Venue</w:t>
      </w:r>
      <w:r w:rsidRPr="00995AAB">
        <w:rPr>
          <w:lang w:val="en-GB"/>
        </w:rPr>
        <w:t xml:space="preserve"> must generate an RTS 27 report.</w:t>
      </w:r>
    </w:p>
    <w:p w14:paraId="0809DB6D" w14:textId="77777777" w:rsidR="00D70C1F" w:rsidRPr="00995AAB" w:rsidRDefault="00D70C1F" w:rsidP="00A9410B">
      <w:pPr>
        <w:pStyle w:val="ListParagraph"/>
        <w:numPr>
          <w:ilvl w:val="0"/>
          <w:numId w:val="9"/>
        </w:numPr>
        <w:rPr>
          <w:lang w:val="en-GB"/>
        </w:rPr>
      </w:pPr>
      <w:r w:rsidRPr="00995AAB">
        <w:rPr>
          <w:b/>
          <w:lang w:val="en-GB"/>
        </w:rPr>
        <w:t>In this instance</w:t>
      </w:r>
      <w:r w:rsidR="00AC6678">
        <w:rPr>
          <w:b/>
          <w:lang w:val="en-GB"/>
        </w:rPr>
        <w:t>,</w:t>
      </w:r>
      <w:r w:rsidRPr="00995AAB">
        <w:rPr>
          <w:b/>
          <w:lang w:val="en-GB"/>
        </w:rPr>
        <w:t xml:space="preserve"> there is no obligation for the Sell-Side firm to provide an RTS 27 report as the Sell-Side firm does </w:t>
      </w:r>
      <w:r w:rsidR="00CF540A">
        <w:rPr>
          <w:b/>
          <w:lang w:val="en-GB"/>
        </w:rPr>
        <w:t xml:space="preserve">not </w:t>
      </w:r>
      <w:r w:rsidRPr="00995AAB">
        <w:rPr>
          <w:b/>
          <w:lang w:val="en-GB"/>
        </w:rPr>
        <w:t xml:space="preserve">provide any of its own liquidity to the buy-side. </w:t>
      </w:r>
    </w:p>
    <w:p w14:paraId="7D33AB8D" w14:textId="77777777" w:rsidR="00DB0786" w:rsidRPr="00995AAB" w:rsidRDefault="00DB0786" w:rsidP="00DB0786">
      <w:pPr>
        <w:rPr>
          <w:lang w:val="en-GB"/>
        </w:rPr>
      </w:pPr>
    </w:p>
    <w:p w14:paraId="424940F3" w14:textId="77777777" w:rsidR="00DB0786" w:rsidRPr="00995AAB" w:rsidRDefault="00DB0786" w:rsidP="00DB0786">
      <w:pPr>
        <w:rPr>
          <w:lang w:val="en-GB"/>
        </w:rPr>
      </w:pPr>
      <w:r w:rsidRPr="00995AAB">
        <w:rPr>
          <w:lang w:val="en-GB"/>
        </w:rPr>
        <w:t>On those scenarios where a firm transmits orders to other firms for execution alongside its execution activity as a member of a trading venue (shown in figure 2) they will need to provide two separate reports disclosing on one hand the top five execution venues and on the other hand the top five entities (brokers) where client orders were routed</w:t>
      </w:r>
    </w:p>
    <w:p w14:paraId="0F4D8684" w14:textId="77777777" w:rsidR="00AF6F0A" w:rsidRPr="00995AAB" w:rsidRDefault="00AF6F0A" w:rsidP="00B61599">
      <w:pPr>
        <w:rPr>
          <w:lang w:val="en-GB"/>
        </w:rPr>
      </w:pPr>
    </w:p>
    <w:p w14:paraId="2C2E406F" w14:textId="77777777" w:rsidR="0010383E" w:rsidRPr="00995AAB" w:rsidRDefault="0010383E" w:rsidP="00DB5387">
      <w:pPr>
        <w:rPr>
          <w:lang w:val="en-GB"/>
        </w:rPr>
      </w:pPr>
    </w:p>
    <w:p w14:paraId="056AAAEF" w14:textId="77777777" w:rsidR="00AF6F0A" w:rsidRDefault="00413BF9" w:rsidP="00DB5387">
      <w:pPr>
        <w:rPr>
          <w:lang w:val="en-GB"/>
        </w:rPr>
      </w:pPr>
      <w:r>
        <w:rPr>
          <w:noProof/>
        </w:rPr>
        <w:lastRenderedPageBreak/>
        <w:drawing>
          <wp:inline distT="0" distB="0" distL="0" distR="0" wp14:anchorId="428C8222" wp14:editId="23692CF1">
            <wp:extent cx="5943600" cy="121412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7-02-26 at 12.26.0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1214120"/>
                    </a:xfrm>
                    <a:prstGeom prst="rect">
                      <a:avLst/>
                    </a:prstGeom>
                  </pic:spPr>
                </pic:pic>
              </a:graphicData>
            </a:graphic>
          </wp:inline>
        </w:drawing>
      </w:r>
    </w:p>
    <w:p w14:paraId="51A51083" w14:textId="77777777" w:rsidR="00C21565" w:rsidRPr="00995AAB" w:rsidRDefault="00C21565" w:rsidP="00DB5387">
      <w:pPr>
        <w:rPr>
          <w:lang w:val="en-GB"/>
        </w:rPr>
      </w:pPr>
    </w:p>
    <w:p w14:paraId="682C46AC" w14:textId="659398C3" w:rsidR="00AF6F0A" w:rsidRPr="00995AAB" w:rsidRDefault="00AF6F0A" w:rsidP="00995AAB">
      <w:pPr>
        <w:pStyle w:val="Caption"/>
        <w:rPr>
          <w:lang w:val="en-GB"/>
        </w:rPr>
      </w:pPr>
      <w:bookmarkStart w:id="17" w:name="_Ref469296533"/>
      <w:r w:rsidRPr="00995AAB">
        <w:rPr>
          <w:lang w:val="en-GB"/>
        </w:rPr>
        <w:t xml:space="preserve">Figure </w:t>
      </w:r>
      <w:r w:rsidR="007018C6" w:rsidRPr="00995AAB">
        <w:rPr>
          <w:lang w:val="en-GB"/>
        </w:rPr>
        <w:fldChar w:fldCharType="begin"/>
      </w:r>
      <w:r w:rsidRPr="00995AAB">
        <w:rPr>
          <w:lang w:val="en-GB"/>
        </w:rPr>
        <w:instrText xml:space="preserve"> SEQ Figure \* ARABIC </w:instrText>
      </w:r>
      <w:r w:rsidR="007018C6" w:rsidRPr="00995AAB">
        <w:rPr>
          <w:lang w:val="en-GB"/>
        </w:rPr>
        <w:fldChar w:fldCharType="separate"/>
      </w:r>
      <w:r w:rsidR="00F64722">
        <w:rPr>
          <w:noProof/>
          <w:lang w:val="en-GB"/>
        </w:rPr>
        <w:t>2</w:t>
      </w:r>
      <w:r w:rsidR="007018C6" w:rsidRPr="00995AAB">
        <w:rPr>
          <w:lang w:val="en-GB"/>
        </w:rPr>
        <w:fldChar w:fldCharType="end"/>
      </w:r>
      <w:bookmarkEnd w:id="17"/>
      <w:r w:rsidRPr="00995AAB">
        <w:rPr>
          <w:lang w:val="en-GB"/>
        </w:rPr>
        <w:t xml:space="preserve">: </w:t>
      </w:r>
      <w:r w:rsidR="005329FB" w:rsidRPr="00995AAB">
        <w:rPr>
          <w:lang w:val="en-GB"/>
        </w:rPr>
        <w:t xml:space="preserve">Equity Scenario - </w:t>
      </w:r>
      <w:r w:rsidRPr="00995AAB">
        <w:rPr>
          <w:lang w:val="en-GB"/>
        </w:rPr>
        <w:t>Routing an order through another Broker</w:t>
      </w:r>
    </w:p>
    <w:p w14:paraId="05A02900" w14:textId="6D4E3807" w:rsidR="00AF6F0A" w:rsidRPr="00995AAB" w:rsidRDefault="00AF6F0A" w:rsidP="00AF6F0A">
      <w:pPr>
        <w:rPr>
          <w:lang w:val="en-GB"/>
        </w:rPr>
      </w:pPr>
      <w:r w:rsidRPr="00995AAB">
        <w:rPr>
          <w:lang w:val="en-GB"/>
        </w:rPr>
        <w:t xml:space="preserve">The second equity scenario in </w:t>
      </w:r>
      <w:r w:rsidR="007018C6" w:rsidRPr="00995AAB">
        <w:rPr>
          <w:lang w:val="en-GB"/>
        </w:rPr>
        <w:fldChar w:fldCharType="begin"/>
      </w:r>
      <w:r w:rsidRPr="00995AAB">
        <w:rPr>
          <w:lang w:val="en-GB"/>
        </w:rPr>
        <w:instrText xml:space="preserve"> REF _Ref469296533 \h </w:instrText>
      </w:r>
      <w:r w:rsidR="007018C6" w:rsidRPr="00995AAB">
        <w:rPr>
          <w:lang w:val="en-GB"/>
        </w:rPr>
      </w:r>
      <w:r w:rsidR="007018C6" w:rsidRPr="00995AAB">
        <w:rPr>
          <w:lang w:val="en-GB"/>
        </w:rPr>
        <w:fldChar w:fldCharType="separate"/>
      </w:r>
      <w:r w:rsidR="00F64722" w:rsidRPr="00995AAB">
        <w:rPr>
          <w:lang w:val="en-GB"/>
        </w:rPr>
        <w:t xml:space="preserve">Figure </w:t>
      </w:r>
      <w:r w:rsidR="00F64722">
        <w:rPr>
          <w:noProof/>
          <w:lang w:val="en-GB"/>
        </w:rPr>
        <w:t>2</w:t>
      </w:r>
      <w:r w:rsidR="007018C6" w:rsidRPr="00995AAB">
        <w:rPr>
          <w:lang w:val="en-GB"/>
        </w:rPr>
        <w:fldChar w:fldCharType="end"/>
      </w:r>
      <w:r w:rsidRPr="00995AAB">
        <w:rPr>
          <w:lang w:val="en-GB"/>
        </w:rPr>
        <w:t xml:space="preserve">, represents the situation where the Buy-Side firm uses a Sell-Side firm to get access to liquidity, but Sell-Side 1 does not have </w:t>
      </w:r>
      <w:r w:rsidR="004263A5" w:rsidRPr="00995AAB">
        <w:rPr>
          <w:lang w:val="en-GB"/>
        </w:rPr>
        <w:t>membership of the required market and must use Sell-Side 2 to access the appropriate</w:t>
      </w:r>
      <w:r w:rsidRPr="00995AAB">
        <w:rPr>
          <w:lang w:val="en-GB"/>
        </w:rPr>
        <w:t xml:space="preserve"> Regulated Market (RM) or Multilateral Trading Facility (MTF). The Sell-Side firm, takes the client order and </w:t>
      </w:r>
      <w:r w:rsidR="00B06DD0" w:rsidRPr="00995AAB">
        <w:rPr>
          <w:lang w:val="en-GB"/>
        </w:rPr>
        <w:t xml:space="preserve">passes it to Sell-Side 2 </w:t>
      </w:r>
      <w:r w:rsidR="004263A5" w:rsidRPr="00995AAB">
        <w:rPr>
          <w:lang w:val="en-GB"/>
        </w:rPr>
        <w:t xml:space="preserve">to place it on the RM/MTF on the Buy-Side’s </w:t>
      </w:r>
      <w:r w:rsidRPr="00995AAB">
        <w:rPr>
          <w:lang w:val="en-GB"/>
        </w:rPr>
        <w:t xml:space="preserve">behalf. </w:t>
      </w:r>
    </w:p>
    <w:p w14:paraId="6C51A9C8" w14:textId="77777777" w:rsidR="00B25785" w:rsidRPr="00C671AE" w:rsidRDefault="00B25785" w:rsidP="00A9410B">
      <w:pPr>
        <w:pStyle w:val="ListParagraph"/>
        <w:numPr>
          <w:ilvl w:val="0"/>
          <w:numId w:val="10"/>
        </w:numPr>
        <w:rPr>
          <w:rFonts w:cs="Arial"/>
          <w:szCs w:val="20"/>
          <w:lang w:val="en-GB"/>
        </w:rPr>
      </w:pPr>
      <w:r w:rsidRPr="00C671AE">
        <w:rPr>
          <w:b/>
          <w:lang w:val="en-GB"/>
        </w:rPr>
        <w:t>The Buy-Side</w:t>
      </w:r>
      <w:r w:rsidRPr="00C671AE">
        <w:rPr>
          <w:lang w:val="en-GB"/>
        </w:rPr>
        <w:t xml:space="preserve"> </w:t>
      </w:r>
      <w:r>
        <w:rPr>
          <w:lang w:val="en-GB"/>
        </w:rPr>
        <w:t>transmitting an order must produce a report</w:t>
      </w:r>
      <w:r w:rsidRPr="00C671AE">
        <w:rPr>
          <w:lang w:val="en-GB"/>
        </w:rPr>
        <w:t xml:space="preserve"> </w:t>
      </w:r>
      <w:r>
        <w:rPr>
          <w:lang w:val="en-GB"/>
        </w:rPr>
        <w:t xml:space="preserve">under Article 65.6 </w:t>
      </w:r>
      <w:r w:rsidRPr="00C671AE">
        <w:rPr>
          <w:lang w:val="en-GB"/>
        </w:rPr>
        <w:t xml:space="preserve">identifying the Sell-Side Firm as one of the Top 5 </w:t>
      </w:r>
      <w:r>
        <w:rPr>
          <w:rFonts w:cs="Arial"/>
          <w:szCs w:val="20"/>
          <w:lang w:val="en-GB"/>
        </w:rPr>
        <w:t>brokers</w:t>
      </w:r>
      <w:r w:rsidRPr="007A2D2F">
        <w:rPr>
          <w:rFonts w:cs="Arial"/>
          <w:szCs w:val="20"/>
          <w:lang w:val="en-GB"/>
        </w:rPr>
        <w:t xml:space="preserve"> in terms of trading volumes where it transmitted orders to </w:t>
      </w:r>
      <w:r>
        <w:rPr>
          <w:rFonts w:cs="Arial"/>
          <w:szCs w:val="20"/>
          <w:lang w:val="en-GB"/>
        </w:rPr>
        <w:t xml:space="preserve">(if it qualifies) </w:t>
      </w:r>
      <w:r w:rsidRPr="007A2D2F">
        <w:rPr>
          <w:rFonts w:cs="Arial"/>
          <w:szCs w:val="20"/>
          <w:lang w:val="en-GB"/>
        </w:rPr>
        <w:t>and this should be consistent with the information published under RTS 28</w:t>
      </w:r>
    </w:p>
    <w:p w14:paraId="13EB541F" w14:textId="77777777" w:rsidR="00B25785" w:rsidRDefault="00AF6F0A" w:rsidP="00A9410B">
      <w:pPr>
        <w:pStyle w:val="ListParagraph"/>
        <w:numPr>
          <w:ilvl w:val="0"/>
          <w:numId w:val="9"/>
        </w:numPr>
        <w:rPr>
          <w:rFonts w:cs="Arial"/>
          <w:szCs w:val="20"/>
          <w:lang w:val="en-GB"/>
        </w:rPr>
      </w:pPr>
      <w:r w:rsidRPr="00995AAB">
        <w:rPr>
          <w:b/>
          <w:lang w:val="en-GB"/>
        </w:rPr>
        <w:t xml:space="preserve">The Sell-Side </w:t>
      </w:r>
      <w:r w:rsidR="004263A5" w:rsidRPr="00995AAB">
        <w:rPr>
          <w:b/>
          <w:lang w:val="en-GB"/>
        </w:rPr>
        <w:t>1 Firm</w:t>
      </w:r>
      <w:r w:rsidR="004263A5" w:rsidRPr="00995AAB">
        <w:rPr>
          <w:lang w:val="en-GB"/>
        </w:rPr>
        <w:t xml:space="preserve"> </w:t>
      </w:r>
      <w:r w:rsidR="00B25785">
        <w:rPr>
          <w:lang w:val="en-GB"/>
        </w:rPr>
        <w:t>transmitting an order must produce a report under Article 65.6</w:t>
      </w:r>
      <w:r w:rsidR="00B25785" w:rsidRPr="00C671AE">
        <w:rPr>
          <w:lang w:val="en-GB"/>
        </w:rPr>
        <w:t xml:space="preserve"> identifying the </w:t>
      </w:r>
      <w:r w:rsidR="00B25785" w:rsidRPr="00995AAB">
        <w:rPr>
          <w:b/>
          <w:lang w:val="en-GB"/>
        </w:rPr>
        <w:t>Sell-Side Firm 2</w:t>
      </w:r>
      <w:r w:rsidR="00B25785">
        <w:rPr>
          <w:lang w:val="en-GB"/>
        </w:rPr>
        <w:t xml:space="preserve"> </w:t>
      </w:r>
      <w:r w:rsidR="00B25785" w:rsidRPr="00C671AE">
        <w:rPr>
          <w:lang w:val="en-GB"/>
        </w:rPr>
        <w:t xml:space="preserve">as one of the Top 5 </w:t>
      </w:r>
      <w:r w:rsidR="00B25785">
        <w:rPr>
          <w:rFonts w:cs="Arial"/>
          <w:szCs w:val="20"/>
          <w:lang w:val="en-GB"/>
        </w:rPr>
        <w:t>brokers</w:t>
      </w:r>
      <w:r w:rsidR="00B25785" w:rsidRPr="007A2D2F">
        <w:rPr>
          <w:rFonts w:cs="Arial"/>
          <w:szCs w:val="20"/>
          <w:lang w:val="en-GB"/>
        </w:rPr>
        <w:t xml:space="preserve"> in terms of trading volumes where it transmitted orders to </w:t>
      </w:r>
      <w:r w:rsidR="00B25785">
        <w:rPr>
          <w:rFonts w:cs="Arial"/>
          <w:szCs w:val="20"/>
          <w:lang w:val="en-GB"/>
        </w:rPr>
        <w:t xml:space="preserve">(if it qualifies) </w:t>
      </w:r>
      <w:r w:rsidR="00B25785" w:rsidRPr="007A2D2F">
        <w:rPr>
          <w:rFonts w:cs="Arial"/>
          <w:szCs w:val="20"/>
          <w:lang w:val="en-GB"/>
        </w:rPr>
        <w:t>and this should be consistent with the information published under RTS 28</w:t>
      </w:r>
      <w:r w:rsidR="00CF540A">
        <w:rPr>
          <w:rFonts w:cs="Arial"/>
          <w:szCs w:val="20"/>
          <w:lang w:val="en-GB"/>
        </w:rPr>
        <w:t>.</w:t>
      </w:r>
    </w:p>
    <w:p w14:paraId="4606E37B" w14:textId="77777777" w:rsidR="00963336" w:rsidRPr="00995AAB" w:rsidRDefault="00963336" w:rsidP="00A9410B">
      <w:pPr>
        <w:pStyle w:val="ListParagraph"/>
        <w:numPr>
          <w:ilvl w:val="0"/>
          <w:numId w:val="9"/>
        </w:numPr>
        <w:rPr>
          <w:lang w:val="en-GB"/>
        </w:rPr>
      </w:pPr>
      <w:r w:rsidRPr="00995AAB">
        <w:rPr>
          <w:b/>
          <w:lang w:val="en-GB"/>
        </w:rPr>
        <w:t>The Sell-Side 2 Firm</w:t>
      </w:r>
      <w:r w:rsidRPr="00995AAB">
        <w:rPr>
          <w:lang w:val="en-GB"/>
        </w:rPr>
        <w:t xml:space="preserve"> must generate an RTS 28 report, identifying the Trading Venue as one of the Top 5 Execution Venues (if it qualifies).</w:t>
      </w:r>
    </w:p>
    <w:p w14:paraId="1151C4B2" w14:textId="77777777" w:rsidR="004E1B41" w:rsidRPr="00995AAB" w:rsidRDefault="004E1B41" w:rsidP="00A9410B">
      <w:pPr>
        <w:pStyle w:val="ListParagraph"/>
        <w:numPr>
          <w:ilvl w:val="0"/>
          <w:numId w:val="10"/>
        </w:numPr>
        <w:rPr>
          <w:lang w:val="en-GB"/>
        </w:rPr>
      </w:pPr>
      <w:r w:rsidRPr="00995AAB">
        <w:rPr>
          <w:b/>
          <w:lang w:val="en-GB"/>
        </w:rPr>
        <w:t>The Trading Venue</w:t>
      </w:r>
      <w:r w:rsidRPr="00995AAB">
        <w:rPr>
          <w:lang w:val="en-GB"/>
        </w:rPr>
        <w:t xml:space="preserve"> must generate an RTS 27 report.</w:t>
      </w:r>
    </w:p>
    <w:p w14:paraId="08F3A06F" w14:textId="77777777" w:rsidR="00470576" w:rsidRPr="00995AAB" w:rsidRDefault="00470576" w:rsidP="00DB5387">
      <w:pPr>
        <w:rPr>
          <w:lang w:val="en-GB"/>
        </w:rPr>
      </w:pPr>
    </w:p>
    <w:p w14:paraId="055E658B" w14:textId="77777777" w:rsidR="00470576" w:rsidRPr="00995AAB" w:rsidRDefault="007C3DC9" w:rsidP="00DB5387">
      <w:pPr>
        <w:rPr>
          <w:lang w:val="en-GB"/>
        </w:rPr>
      </w:pPr>
      <w:r w:rsidRPr="00A7378B">
        <w:rPr>
          <w:noProof/>
        </w:rPr>
        <w:drawing>
          <wp:anchor distT="0" distB="0" distL="114300" distR="114300" simplePos="0" relativeHeight="251657728" behindDoc="0" locked="0" layoutInCell="1" allowOverlap="1" wp14:anchorId="14EDE42F" wp14:editId="05578F42">
            <wp:simplePos x="0" y="0"/>
            <wp:positionH relativeFrom="column">
              <wp:posOffset>0</wp:posOffset>
            </wp:positionH>
            <wp:positionV relativeFrom="paragraph">
              <wp:posOffset>8737600</wp:posOffset>
            </wp:positionV>
            <wp:extent cx="5943600" cy="1226185"/>
            <wp:effectExtent l="0" t="0" r="0" b="0"/>
            <wp:wrapNone/>
            <wp:docPr id="7" name="Picture 4" descr="Screen Shot 2016-04-14 at 17.45.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 Shot 2016-04-14 at 17.45.17.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226185"/>
                    </a:xfrm>
                    <a:prstGeom prst="rect">
                      <a:avLst/>
                    </a:prstGeom>
                    <a:noFill/>
                  </pic:spPr>
                </pic:pic>
              </a:graphicData>
            </a:graphic>
          </wp:anchor>
        </w:drawing>
      </w:r>
    </w:p>
    <w:p w14:paraId="116A4736" w14:textId="77777777" w:rsidR="00B61599" w:rsidRDefault="00576EFB" w:rsidP="00DB5387">
      <w:pPr>
        <w:rPr>
          <w:lang w:val="en-GB"/>
        </w:rPr>
      </w:pPr>
      <w:r>
        <w:rPr>
          <w:noProof/>
        </w:rPr>
        <w:drawing>
          <wp:inline distT="0" distB="0" distL="0" distR="0" wp14:anchorId="0B1F8297" wp14:editId="52E18364">
            <wp:extent cx="5943600" cy="1115695"/>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7-02-26 at 12.56.4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1115695"/>
                    </a:xfrm>
                    <a:prstGeom prst="rect">
                      <a:avLst/>
                    </a:prstGeom>
                  </pic:spPr>
                </pic:pic>
              </a:graphicData>
            </a:graphic>
          </wp:inline>
        </w:drawing>
      </w:r>
    </w:p>
    <w:p w14:paraId="61D142EF" w14:textId="77777777" w:rsidR="00C21565" w:rsidRPr="00995AAB" w:rsidRDefault="00C21565" w:rsidP="00DB5387">
      <w:pPr>
        <w:rPr>
          <w:lang w:val="en-GB"/>
        </w:rPr>
      </w:pPr>
    </w:p>
    <w:p w14:paraId="353AA18F" w14:textId="5E247C5A" w:rsidR="004263A5" w:rsidRPr="00995AAB" w:rsidRDefault="004A339D" w:rsidP="00995AAB">
      <w:pPr>
        <w:pStyle w:val="Caption"/>
        <w:rPr>
          <w:lang w:val="en-GB"/>
        </w:rPr>
      </w:pPr>
      <w:bookmarkStart w:id="18" w:name="_Ref469297629"/>
      <w:r w:rsidRPr="00995AAB">
        <w:rPr>
          <w:lang w:val="en-GB"/>
        </w:rPr>
        <w:t xml:space="preserve">Figure </w:t>
      </w:r>
      <w:r w:rsidR="007018C6" w:rsidRPr="00995AAB">
        <w:rPr>
          <w:lang w:val="en-GB"/>
        </w:rPr>
        <w:fldChar w:fldCharType="begin"/>
      </w:r>
      <w:r w:rsidRPr="00995AAB">
        <w:rPr>
          <w:lang w:val="en-GB"/>
        </w:rPr>
        <w:instrText xml:space="preserve"> SEQ Figure \* ARABIC </w:instrText>
      </w:r>
      <w:r w:rsidR="007018C6" w:rsidRPr="00995AAB">
        <w:rPr>
          <w:lang w:val="en-GB"/>
        </w:rPr>
        <w:fldChar w:fldCharType="separate"/>
      </w:r>
      <w:r w:rsidR="00F64722">
        <w:rPr>
          <w:noProof/>
          <w:lang w:val="en-GB"/>
        </w:rPr>
        <w:t>3</w:t>
      </w:r>
      <w:r w:rsidR="007018C6" w:rsidRPr="00995AAB">
        <w:rPr>
          <w:lang w:val="en-GB"/>
        </w:rPr>
        <w:fldChar w:fldCharType="end"/>
      </w:r>
      <w:bookmarkEnd w:id="18"/>
      <w:r w:rsidRPr="00995AAB">
        <w:rPr>
          <w:lang w:val="en-GB"/>
        </w:rPr>
        <w:t xml:space="preserve">: </w:t>
      </w:r>
      <w:r w:rsidR="005329FB" w:rsidRPr="00995AAB">
        <w:rPr>
          <w:lang w:val="en-GB"/>
        </w:rPr>
        <w:t xml:space="preserve">Equity Scenario - </w:t>
      </w:r>
      <w:r w:rsidR="00C343B4" w:rsidRPr="00995AAB">
        <w:rPr>
          <w:lang w:val="en-GB"/>
        </w:rPr>
        <w:t>Sell-Side will do matched principal trading</w:t>
      </w:r>
      <w:r w:rsidRPr="00995AAB">
        <w:rPr>
          <w:lang w:val="en-GB"/>
        </w:rPr>
        <w:t xml:space="preserve"> as well as on Trading Venues</w:t>
      </w:r>
    </w:p>
    <w:p w14:paraId="2554B49B" w14:textId="24C48638" w:rsidR="00C673C4" w:rsidRPr="00995AAB" w:rsidRDefault="00C673C4" w:rsidP="00C673C4">
      <w:pPr>
        <w:rPr>
          <w:lang w:val="en-GB"/>
        </w:rPr>
      </w:pPr>
      <w:r w:rsidRPr="00995AAB">
        <w:rPr>
          <w:lang w:val="en-GB"/>
        </w:rPr>
        <w:t>The third equity scenario in</w:t>
      </w:r>
      <w:r w:rsidR="004A339D" w:rsidRPr="00995AAB">
        <w:rPr>
          <w:lang w:val="en-GB"/>
        </w:rPr>
        <w:t xml:space="preserve"> </w:t>
      </w:r>
      <w:r w:rsidR="007018C6" w:rsidRPr="00995AAB">
        <w:rPr>
          <w:lang w:val="en-GB"/>
        </w:rPr>
        <w:fldChar w:fldCharType="begin"/>
      </w:r>
      <w:r w:rsidR="004A339D" w:rsidRPr="00995AAB">
        <w:rPr>
          <w:lang w:val="en-GB"/>
        </w:rPr>
        <w:instrText xml:space="preserve"> REF _Ref469297629 \h </w:instrText>
      </w:r>
      <w:r w:rsidR="007018C6" w:rsidRPr="00995AAB">
        <w:rPr>
          <w:lang w:val="en-GB"/>
        </w:rPr>
      </w:r>
      <w:r w:rsidR="007018C6" w:rsidRPr="00995AAB">
        <w:rPr>
          <w:lang w:val="en-GB"/>
        </w:rPr>
        <w:fldChar w:fldCharType="separate"/>
      </w:r>
      <w:r w:rsidR="00F64722" w:rsidRPr="00995AAB">
        <w:rPr>
          <w:lang w:val="en-GB"/>
        </w:rPr>
        <w:t xml:space="preserve">Figure </w:t>
      </w:r>
      <w:r w:rsidR="00F64722">
        <w:rPr>
          <w:noProof/>
          <w:lang w:val="en-GB"/>
        </w:rPr>
        <w:t>3</w:t>
      </w:r>
      <w:r w:rsidR="007018C6" w:rsidRPr="00995AAB">
        <w:rPr>
          <w:lang w:val="en-GB"/>
        </w:rPr>
        <w:fldChar w:fldCharType="end"/>
      </w:r>
      <w:r w:rsidRPr="00995AAB">
        <w:rPr>
          <w:lang w:val="en-GB"/>
        </w:rPr>
        <w:t xml:space="preserve">, represents the situation where the Buy-Side firm uses a Sell-Side firm to get access to </w:t>
      </w:r>
      <w:r w:rsidR="004A339D" w:rsidRPr="00995AAB">
        <w:rPr>
          <w:lang w:val="en-GB"/>
        </w:rPr>
        <w:t>liquidity. This time, the Sell-Side may</w:t>
      </w:r>
      <w:r w:rsidR="00DB0786" w:rsidRPr="00995AAB">
        <w:rPr>
          <w:lang w:val="en-GB"/>
        </w:rPr>
        <w:t xml:space="preserve"> act in a matched principal capacity trading OTC, </w:t>
      </w:r>
      <w:r w:rsidR="00AE41E8">
        <w:rPr>
          <w:lang w:val="en-GB"/>
        </w:rPr>
        <w:t xml:space="preserve">or acting as agent in an ad-hoc, infrequent, non-systematic basis, </w:t>
      </w:r>
      <w:r w:rsidR="00DB0786" w:rsidRPr="00995AAB">
        <w:rPr>
          <w:lang w:val="en-GB"/>
        </w:rPr>
        <w:t>or</w:t>
      </w:r>
      <w:r w:rsidR="004A339D" w:rsidRPr="00995AAB">
        <w:rPr>
          <w:lang w:val="en-GB"/>
        </w:rPr>
        <w:t xml:space="preserve"> hold or take a position in the security rather than automatically route the order to a </w:t>
      </w:r>
      <w:r w:rsidRPr="00995AAB">
        <w:rPr>
          <w:lang w:val="en-GB"/>
        </w:rPr>
        <w:t>Regulated Market (RM) or Multilateral Trading Facility (MTF). The Sell-Side firm</w:t>
      </w:r>
      <w:r w:rsidR="004A339D" w:rsidRPr="00995AAB">
        <w:rPr>
          <w:lang w:val="en-GB"/>
        </w:rPr>
        <w:t xml:space="preserve"> has the option to Trade off own book (with permission) or take the client order and place it on a</w:t>
      </w:r>
      <w:r w:rsidRPr="00995AAB">
        <w:rPr>
          <w:lang w:val="en-GB"/>
        </w:rPr>
        <w:t xml:space="preserve"> RM/MTF on the Buy-Side’s behalf. </w:t>
      </w:r>
    </w:p>
    <w:p w14:paraId="3DA166FD" w14:textId="77777777" w:rsidR="00B25785" w:rsidRPr="00C671AE" w:rsidRDefault="00B25785" w:rsidP="00A9410B">
      <w:pPr>
        <w:pStyle w:val="ListParagraph"/>
        <w:numPr>
          <w:ilvl w:val="0"/>
          <w:numId w:val="11"/>
        </w:numPr>
        <w:rPr>
          <w:rFonts w:cs="Arial"/>
          <w:szCs w:val="20"/>
          <w:lang w:val="en-GB"/>
        </w:rPr>
      </w:pPr>
      <w:r w:rsidRPr="00C671AE">
        <w:rPr>
          <w:b/>
          <w:lang w:val="en-GB"/>
        </w:rPr>
        <w:t>The Buy-Side</w:t>
      </w:r>
      <w:r w:rsidRPr="00C671AE">
        <w:rPr>
          <w:lang w:val="en-GB"/>
        </w:rPr>
        <w:t xml:space="preserve"> </w:t>
      </w:r>
      <w:r>
        <w:rPr>
          <w:lang w:val="en-GB"/>
        </w:rPr>
        <w:t>transmitting an order must produce a report</w:t>
      </w:r>
      <w:r w:rsidRPr="00C671AE">
        <w:rPr>
          <w:lang w:val="en-GB"/>
        </w:rPr>
        <w:t xml:space="preserve"> </w:t>
      </w:r>
      <w:r>
        <w:rPr>
          <w:lang w:val="en-GB"/>
        </w:rPr>
        <w:t xml:space="preserve">under Article 65.6 </w:t>
      </w:r>
      <w:r w:rsidRPr="00C671AE">
        <w:rPr>
          <w:lang w:val="en-GB"/>
        </w:rPr>
        <w:t xml:space="preserve">identifying Sell-Side Firm </w:t>
      </w:r>
      <w:r w:rsidR="00682DE5">
        <w:rPr>
          <w:lang w:val="en-GB"/>
        </w:rPr>
        <w:t xml:space="preserve">1 </w:t>
      </w:r>
      <w:r w:rsidRPr="00C671AE">
        <w:rPr>
          <w:lang w:val="en-GB"/>
        </w:rPr>
        <w:t xml:space="preserve">as one of the Top 5 </w:t>
      </w:r>
      <w:r>
        <w:rPr>
          <w:rFonts w:cs="Arial"/>
          <w:szCs w:val="20"/>
          <w:lang w:val="en-GB"/>
        </w:rPr>
        <w:t>brokers</w:t>
      </w:r>
      <w:r w:rsidRPr="007A2D2F">
        <w:rPr>
          <w:rFonts w:cs="Arial"/>
          <w:szCs w:val="20"/>
          <w:lang w:val="en-GB"/>
        </w:rPr>
        <w:t xml:space="preserve"> in terms of trading volumes where it transmitted orders to </w:t>
      </w:r>
      <w:r>
        <w:rPr>
          <w:rFonts w:cs="Arial"/>
          <w:szCs w:val="20"/>
          <w:lang w:val="en-GB"/>
        </w:rPr>
        <w:t xml:space="preserve">(if it qualifies) </w:t>
      </w:r>
      <w:r w:rsidRPr="007A2D2F">
        <w:rPr>
          <w:rFonts w:cs="Arial"/>
          <w:szCs w:val="20"/>
          <w:lang w:val="en-GB"/>
        </w:rPr>
        <w:t>and this should be consistent with the information published under RTS 28</w:t>
      </w:r>
    </w:p>
    <w:p w14:paraId="73F8D917" w14:textId="77777777" w:rsidR="00C673C4" w:rsidRPr="00995AAB" w:rsidRDefault="00C673C4" w:rsidP="00A9410B">
      <w:pPr>
        <w:pStyle w:val="ListParagraph"/>
        <w:numPr>
          <w:ilvl w:val="0"/>
          <w:numId w:val="11"/>
        </w:numPr>
        <w:rPr>
          <w:lang w:val="en-GB"/>
        </w:rPr>
      </w:pPr>
      <w:r w:rsidRPr="00995AAB">
        <w:rPr>
          <w:b/>
          <w:lang w:val="en-GB"/>
        </w:rPr>
        <w:t>The Sell-Side</w:t>
      </w:r>
      <w:r w:rsidR="00E85665" w:rsidRPr="00995AAB">
        <w:rPr>
          <w:b/>
          <w:lang w:val="en-GB"/>
        </w:rPr>
        <w:t xml:space="preserve"> </w:t>
      </w:r>
      <w:r w:rsidRPr="00995AAB">
        <w:rPr>
          <w:lang w:val="en-GB"/>
        </w:rPr>
        <w:t>must generate an RTS 28 report</w:t>
      </w:r>
      <w:r w:rsidR="004A339D" w:rsidRPr="00995AAB">
        <w:rPr>
          <w:lang w:val="en-GB"/>
        </w:rPr>
        <w:t>, identifying itself</w:t>
      </w:r>
      <w:r w:rsidR="00441A1D" w:rsidRPr="00995AAB">
        <w:rPr>
          <w:lang w:val="en-GB"/>
        </w:rPr>
        <w:t xml:space="preserve">, as well </w:t>
      </w:r>
      <w:r w:rsidR="00E85665" w:rsidRPr="00995AAB">
        <w:rPr>
          <w:lang w:val="en-GB"/>
        </w:rPr>
        <w:t>Trading Venues,</w:t>
      </w:r>
      <w:r w:rsidRPr="00995AAB">
        <w:rPr>
          <w:lang w:val="en-GB"/>
        </w:rPr>
        <w:t xml:space="preserve"> as one of the Top 5 Execution Venues (if it qualifies).</w:t>
      </w:r>
    </w:p>
    <w:p w14:paraId="2CAD37C0" w14:textId="77777777" w:rsidR="00DB0786" w:rsidRPr="00995AAB" w:rsidRDefault="005E78A4" w:rsidP="00A9410B">
      <w:pPr>
        <w:pStyle w:val="ListParagraph"/>
        <w:numPr>
          <w:ilvl w:val="0"/>
          <w:numId w:val="11"/>
        </w:numPr>
        <w:rPr>
          <w:lang w:val="en-GB"/>
        </w:rPr>
      </w:pPr>
      <w:r>
        <w:rPr>
          <w:b/>
          <w:lang w:val="en-GB"/>
        </w:rPr>
        <w:t>As</w:t>
      </w:r>
      <w:r w:rsidR="00DB0786" w:rsidRPr="00995AAB">
        <w:rPr>
          <w:b/>
          <w:lang w:val="en-GB"/>
        </w:rPr>
        <w:t xml:space="preserve"> the Sell-Side firm</w:t>
      </w:r>
      <w:r w:rsidR="00B25785">
        <w:rPr>
          <w:b/>
          <w:lang w:val="en-GB"/>
        </w:rPr>
        <w:t xml:space="preserve"> </w:t>
      </w:r>
      <w:r w:rsidR="00DB0786" w:rsidRPr="00995AAB">
        <w:rPr>
          <w:b/>
          <w:lang w:val="en-GB"/>
        </w:rPr>
        <w:t xml:space="preserve">is providing liquidity to the Buy-Side, </w:t>
      </w:r>
      <w:r w:rsidR="00565E01">
        <w:rPr>
          <w:b/>
          <w:lang w:val="en-GB"/>
        </w:rPr>
        <w:t xml:space="preserve">in this case </w:t>
      </w:r>
      <w:r w:rsidR="00DB0786" w:rsidRPr="00995AAB">
        <w:rPr>
          <w:b/>
          <w:lang w:val="en-GB"/>
        </w:rPr>
        <w:t>trading OTC on an ad-hoc and infrequent basis,</w:t>
      </w:r>
      <w:r>
        <w:rPr>
          <w:b/>
          <w:lang w:val="en-GB"/>
        </w:rPr>
        <w:t xml:space="preserve"> but in an instrument which is subject to a Trading obligation,</w:t>
      </w:r>
      <w:r w:rsidR="00DB0786" w:rsidRPr="00995AAB">
        <w:rPr>
          <w:b/>
          <w:lang w:val="en-GB"/>
        </w:rPr>
        <w:t xml:space="preserve"> the Sell-Side </w:t>
      </w:r>
      <w:r>
        <w:rPr>
          <w:b/>
          <w:lang w:val="en-GB"/>
        </w:rPr>
        <w:t>does NOT produce</w:t>
      </w:r>
      <w:r w:rsidR="00DB0786" w:rsidRPr="00995AAB">
        <w:rPr>
          <w:b/>
          <w:lang w:val="en-GB"/>
        </w:rPr>
        <w:t xml:space="preserve"> an RTS 27 report</w:t>
      </w:r>
      <w:r>
        <w:rPr>
          <w:b/>
          <w:lang w:val="en-GB"/>
        </w:rPr>
        <w:t>.</w:t>
      </w:r>
      <w:r w:rsidR="00DB0786" w:rsidRPr="00995AAB">
        <w:rPr>
          <w:b/>
          <w:lang w:val="en-GB"/>
        </w:rPr>
        <w:t xml:space="preserve"> </w:t>
      </w:r>
    </w:p>
    <w:p w14:paraId="0C4085EA" w14:textId="77777777" w:rsidR="004E1B41" w:rsidRPr="00995AAB" w:rsidRDefault="004E1B41" w:rsidP="00A9410B">
      <w:pPr>
        <w:pStyle w:val="ListParagraph"/>
        <w:numPr>
          <w:ilvl w:val="0"/>
          <w:numId w:val="11"/>
        </w:numPr>
        <w:rPr>
          <w:lang w:val="en-GB"/>
        </w:rPr>
      </w:pPr>
      <w:r w:rsidRPr="00995AAB">
        <w:rPr>
          <w:b/>
          <w:lang w:val="en-GB"/>
        </w:rPr>
        <w:t>The Trading Venue</w:t>
      </w:r>
      <w:r w:rsidRPr="00995AAB">
        <w:rPr>
          <w:lang w:val="en-GB"/>
        </w:rPr>
        <w:t xml:space="preserve"> must generate an RTS 27 report.</w:t>
      </w:r>
    </w:p>
    <w:p w14:paraId="225E0839" w14:textId="77777777" w:rsidR="004E1B41" w:rsidRDefault="004E1B41">
      <w:pPr>
        <w:rPr>
          <w:lang w:val="en-GB"/>
        </w:rPr>
      </w:pPr>
    </w:p>
    <w:p w14:paraId="0C6E3E9D" w14:textId="77777777" w:rsidR="00C343B4" w:rsidRDefault="00565E01" w:rsidP="00C343B4">
      <w:pPr>
        <w:rPr>
          <w:lang w:val="en-GB"/>
        </w:rPr>
      </w:pPr>
      <w:r>
        <w:rPr>
          <w:noProof/>
        </w:rPr>
        <w:lastRenderedPageBreak/>
        <w:drawing>
          <wp:inline distT="0" distB="0" distL="0" distR="0" wp14:anchorId="307A776F" wp14:editId="6544AA93">
            <wp:extent cx="5943600" cy="1130300"/>
            <wp:effectExtent l="0" t="0" r="0" b="12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7-02-26 at 12.33.55.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1130300"/>
                    </a:xfrm>
                    <a:prstGeom prst="rect">
                      <a:avLst/>
                    </a:prstGeom>
                  </pic:spPr>
                </pic:pic>
              </a:graphicData>
            </a:graphic>
          </wp:inline>
        </w:drawing>
      </w:r>
    </w:p>
    <w:p w14:paraId="657ED3FE" w14:textId="77777777" w:rsidR="00C21565" w:rsidRPr="00113E05" w:rsidRDefault="00C21565" w:rsidP="00C343B4">
      <w:pPr>
        <w:rPr>
          <w:lang w:val="en-GB"/>
        </w:rPr>
      </w:pPr>
    </w:p>
    <w:p w14:paraId="7C64C095" w14:textId="786BE57A" w:rsidR="00C343B4" w:rsidRPr="00113E05" w:rsidRDefault="00C343B4" w:rsidP="00C343B4">
      <w:pPr>
        <w:pStyle w:val="Caption"/>
        <w:rPr>
          <w:lang w:val="en-GB"/>
        </w:rPr>
      </w:pPr>
      <w:bookmarkStart w:id="19" w:name="_Ref475876042"/>
      <w:r w:rsidRPr="00113E05">
        <w:rPr>
          <w:lang w:val="en-GB"/>
        </w:rPr>
        <w:t xml:space="preserve">Figure </w:t>
      </w:r>
      <w:r w:rsidR="007018C6" w:rsidRPr="00113E05">
        <w:rPr>
          <w:lang w:val="en-GB"/>
        </w:rPr>
        <w:fldChar w:fldCharType="begin"/>
      </w:r>
      <w:r w:rsidRPr="00113E05">
        <w:rPr>
          <w:lang w:val="en-GB"/>
        </w:rPr>
        <w:instrText xml:space="preserve"> SEQ Figure \* ARABIC </w:instrText>
      </w:r>
      <w:r w:rsidR="007018C6" w:rsidRPr="00113E05">
        <w:rPr>
          <w:lang w:val="en-GB"/>
        </w:rPr>
        <w:fldChar w:fldCharType="separate"/>
      </w:r>
      <w:r w:rsidR="00F64722">
        <w:rPr>
          <w:noProof/>
          <w:lang w:val="en-GB"/>
        </w:rPr>
        <w:t>4</w:t>
      </w:r>
      <w:r w:rsidR="007018C6" w:rsidRPr="00113E05">
        <w:rPr>
          <w:lang w:val="en-GB"/>
        </w:rPr>
        <w:fldChar w:fldCharType="end"/>
      </w:r>
      <w:bookmarkEnd w:id="19"/>
      <w:r w:rsidRPr="00113E05">
        <w:rPr>
          <w:lang w:val="en-GB"/>
        </w:rPr>
        <w:t xml:space="preserve">: Equity Scenario - Sell-Side </w:t>
      </w:r>
      <w:r>
        <w:rPr>
          <w:lang w:val="en-GB"/>
        </w:rPr>
        <w:t>acts as a Systematic Internaliser and trades off own book</w:t>
      </w:r>
      <w:r w:rsidRPr="00113E05">
        <w:rPr>
          <w:lang w:val="en-GB"/>
        </w:rPr>
        <w:t xml:space="preserve"> as well as on Trading Venues</w:t>
      </w:r>
    </w:p>
    <w:p w14:paraId="403D1322" w14:textId="195E7AFB" w:rsidR="00C343B4" w:rsidRPr="00113E05" w:rsidRDefault="00C343B4" w:rsidP="00C343B4">
      <w:pPr>
        <w:rPr>
          <w:lang w:val="en-GB"/>
        </w:rPr>
      </w:pPr>
      <w:r>
        <w:rPr>
          <w:lang w:val="en-GB"/>
        </w:rPr>
        <w:t>The fourth</w:t>
      </w:r>
      <w:r w:rsidRPr="00113E05">
        <w:rPr>
          <w:lang w:val="en-GB"/>
        </w:rPr>
        <w:t xml:space="preserve"> equity scenario in</w:t>
      </w:r>
      <w:r w:rsidR="00565E01">
        <w:rPr>
          <w:lang w:val="en-GB"/>
        </w:rPr>
        <w:t xml:space="preserve"> </w:t>
      </w:r>
      <w:r w:rsidR="007018C6">
        <w:rPr>
          <w:lang w:val="en-GB"/>
        </w:rPr>
        <w:fldChar w:fldCharType="begin"/>
      </w:r>
      <w:r w:rsidR="00046880">
        <w:rPr>
          <w:lang w:val="en-GB"/>
        </w:rPr>
        <w:instrText xml:space="preserve"> REF _Ref475876042 \h </w:instrText>
      </w:r>
      <w:r w:rsidR="007018C6">
        <w:rPr>
          <w:lang w:val="en-GB"/>
        </w:rPr>
      </w:r>
      <w:r w:rsidR="007018C6">
        <w:rPr>
          <w:lang w:val="en-GB"/>
        </w:rPr>
        <w:fldChar w:fldCharType="separate"/>
      </w:r>
      <w:r w:rsidR="00F64722" w:rsidRPr="00113E05">
        <w:rPr>
          <w:lang w:val="en-GB"/>
        </w:rPr>
        <w:t xml:space="preserve">Figure </w:t>
      </w:r>
      <w:r w:rsidR="00F64722">
        <w:rPr>
          <w:noProof/>
          <w:lang w:val="en-GB"/>
        </w:rPr>
        <w:t>4</w:t>
      </w:r>
      <w:r w:rsidR="007018C6">
        <w:rPr>
          <w:lang w:val="en-GB"/>
        </w:rPr>
        <w:fldChar w:fldCharType="end"/>
      </w:r>
      <w:r w:rsidRPr="00113E05">
        <w:rPr>
          <w:lang w:val="en-GB"/>
        </w:rPr>
        <w:t xml:space="preserve">, represents the situation where the Buy-Side firm uses a Sell-Side firm to get access to liquidity. This time, the Sell-Side </w:t>
      </w:r>
      <w:r w:rsidR="00046880">
        <w:rPr>
          <w:lang w:val="en-GB"/>
        </w:rPr>
        <w:t>is a Systematic Internaliser and therefore willing to</w:t>
      </w:r>
      <w:r w:rsidRPr="00113E05">
        <w:rPr>
          <w:lang w:val="en-GB"/>
        </w:rPr>
        <w:t xml:space="preserve"> hold or take a position in the security rather than automatically route the order to a Regulated Market (RM) or Multilateral Trading Facility (MTF). The Sell-Side firm has the option to Trade off own book (with permission) or take the client order and place it on a RM/MTF on the Buy-Side’s behalf. </w:t>
      </w:r>
    </w:p>
    <w:p w14:paraId="0213D4B3" w14:textId="3827181A" w:rsidR="00C343B4" w:rsidRPr="00C671AE" w:rsidRDefault="00C343B4" w:rsidP="00A9410B">
      <w:pPr>
        <w:pStyle w:val="ListParagraph"/>
        <w:numPr>
          <w:ilvl w:val="0"/>
          <w:numId w:val="11"/>
        </w:numPr>
        <w:rPr>
          <w:rFonts w:cs="Arial"/>
          <w:szCs w:val="20"/>
          <w:lang w:val="en-GB"/>
        </w:rPr>
      </w:pPr>
      <w:r w:rsidRPr="00C671AE">
        <w:rPr>
          <w:b/>
          <w:lang w:val="en-GB"/>
        </w:rPr>
        <w:t>The Buy-Side</w:t>
      </w:r>
      <w:r w:rsidRPr="00C671AE">
        <w:rPr>
          <w:lang w:val="en-GB"/>
        </w:rPr>
        <w:t xml:space="preserve"> </w:t>
      </w:r>
      <w:r>
        <w:rPr>
          <w:lang w:val="en-GB"/>
        </w:rPr>
        <w:t>transmitting an order must produce a report</w:t>
      </w:r>
      <w:r w:rsidRPr="00C671AE">
        <w:rPr>
          <w:lang w:val="en-GB"/>
        </w:rPr>
        <w:t xml:space="preserve"> </w:t>
      </w:r>
      <w:r w:rsidR="00565E01">
        <w:rPr>
          <w:lang w:val="en-GB"/>
        </w:rPr>
        <w:t>under RTS28</w:t>
      </w:r>
      <w:r w:rsidRPr="00C671AE">
        <w:rPr>
          <w:lang w:val="en-GB"/>
        </w:rPr>
        <w:t xml:space="preserve"> </w:t>
      </w:r>
      <w:r w:rsidR="002773BC">
        <w:rPr>
          <w:lang w:val="en-GB"/>
        </w:rPr>
        <w:t xml:space="preserve">if using </w:t>
      </w:r>
      <w:r w:rsidRPr="00C671AE">
        <w:rPr>
          <w:lang w:val="en-GB"/>
        </w:rPr>
        <w:t xml:space="preserve">Sell-Side Firm </w:t>
      </w:r>
      <w:r>
        <w:rPr>
          <w:lang w:val="en-GB"/>
        </w:rPr>
        <w:t xml:space="preserve">1 </w:t>
      </w:r>
      <w:r w:rsidRPr="00C671AE">
        <w:rPr>
          <w:lang w:val="en-GB"/>
        </w:rPr>
        <w:t xml:space="preserve">as one of the Top 5 </w:t>
      </w:r>
      <w:r w:rsidR="00565E01">
        <w:rPr>
          <w:rFonts w:cs="Arial"/>
          <w:szCs w:val="20"/>
          <w:lang w:val="en-GB"/>
        </w:rPr>
        <w:t>Execution Venues</w:t>
      </w:r>
      <w:r w:rsidR="002773BC">
        <w:rPr>
          <w:rFonts w:cs="Arial"/>
          <w:szCs w:val="20"/>
          <w:lang w:val="en-GB"/>
        </w:rPr>
        <w:t xml:space="preserve"> (such as SI)</w:t>
      </w:r>
      <w:r w:rsidRPr="007A2D2F">
        <w:rPr>
          <w:rFonts w:cs="Arial"/>
          <w:szCs w:val="20"/>
          <w:lang w:val="en-GB"/>
        </w:rPr>
        <w:t xml:space="preserve"> in terms of trading volume</w:t>
      </w:r>
      <w:r w:rsidR="00565E01">
        <w:rPr>
          <w:rFonts w:cs="Arial"/>
          <w:szCs w:val="20"/>
          <w:lang w:val="en-GB"/>
        </w:rPr>
        <w:t>s</w:t>
      </w:r>
      <w:r w:rsidRPr="007A2D2F">
        <w:rPr>
          <w:rFonts w:cs="Arial"/>
          <w:szCs w:val="20"/>
          <w:lang w:val="en-GB"/>
        </w:rPr>
        <w:t xml:space="preserve"> </w:t>
      </w:r>
      <w:r w:rsidR="00565E01">
        <w:rPr>
          <w:rFonts w:cs="Arial"/>
          <w:szCs w:val="20"/>
          <w:lang w:val="en-GB"/>
        </w:rPr>
        <w:t>(if it qualifies)</w:t>
      </w:r>
    </w:p>
    <w:p w14:paraId="4DD3863B" w14:textId="77777777" w:rsidR="00C343B4" w:rsidRPr="00113E05" w:rsidRDefault="00C343B4" w:rsidP="00A9410B">
      <w:pPr>
        <w:pStyle w:val="ListParagraph"/>
        <w:numPr>
          <w:ilvl w:val="0"/>
          <w:numId w:val="11"/>
        </w:numPr>
        <w:rPr>
          <w:lang w:val="en-GB"/>
        </w:rPr>
      </w:pPr>
      <w:r w:rsidRPr="00113E05">
        <w:rPr>
          <w:b/>
          <w:lang w:val="en-GB"/>
        </w:rPr>
        <w:t xml:space="preserve">The Sell-Side </w:t>
      </w:r>
      <w:r w:rsidRPr="00113E05">
        <w:rPr>
          <w:lang w:val="en-GB"/>
        </w:rPr>
        <w:t>must generate an RTS 28 report, identifying itself, as well Trading Venues, as one of the Top 5 Execution Venues (if it qualifies).</w:t>
      </w:r>
    </w:p>
    <w:p w14:paraId="46D16FE9" w14:textId="77777777" w:rsidR="00C343B4" w:rsidRPr="00113E05" w:rsidRDefault="00C343B4" w:rsidP="00A9410B">
      <w:pPr>
        <w:pStyle w:val="ListParagraph"/>
        <w:numPr>
          <w:ilvl w:val="0"/>
          <w:numId w:val="11"/>
        </w:numPr>
        <w:rPr>
          <w:lang w:val="en-GB"/>
        </w:rPr>
      </w:pPr>
      <w:r w:rsidRPr="00113E05">
        <w:rPr>
          <w:b/>
          <w:lang w:val="en-GB"/>
        </w:rPr>
        <w:t>If the Sell-Side firm</w:t>
      </w:r>
      <w:r>
        <w:rPr>
          <w:b/>
          <w:lang w:val="en-GB"/>
        </w:rPr>
        <w:t xml:space="preserve"> </w:t>
      </w:r>
      <w:r w:rsidRPr="00113E05">
        <w:rPr>
          <w:b/>
          <w:lang w:val="en-GB"/>
        </w:rPr>
        <w:t>is providing liquidity to the Buy-Side in the capacity of an</w:t>
      </w:r>
      <w:r w:rsidR="00565E01">
        <w:rPr>
          <w:b/>
          <w:lang w:val="en-GB"/>
        </w:rPr>
        <w:t xml:space="preserve"> SI</w:t>
      </w:r>
      <w:r w:rsidRPr="00113E05">
        <w:rPr>
          <w:b/>
          <w:lang w:val="en-GB"/>
        </w:rPr>
        <w:t xml:space="preserve"> the Sell-Side firm must produce an RTS 27 report </w:t>
      </w:r>
    </w:p>
    <w:p w14:paraId="6BBF0C64" w14:textId="77777777" w:rsidR="00C343B4" w:rsidRPr="00113E05" w:rsidRDefault="00C343B4" w:rsidP="00A9410B">
      <w:pPr>
        <w:pStyle w:val="ListParagraph"/>
        <w:numPr>
          <w:ilvl w:val="0"/>
          <w:numId w:val="11"/>
        </w:numPr>
        <w:rPr>
          <w:lang w:val="en-GB"/>
        </w:rPr>
      </w:pPr>
      <w:r w:rsidRPr="00113E05">
        <w:rPr>
          <w:b/>
          <w:lang w:val="en-GB"/>
        </w:rPr>
        <w:t>The Trading Venue</w:t>
      </w:r>
      <w:r w:rsidRPr="00113E05">
        <w:rPr>
          <w:lang w:val="en-GB"/>
        </w:rPr>
        <w:t xml:space="preserve"> must generate an RTS 27 report.</w:t>
      </w:r>
    </w:p>
    <w:p w14:paraId="1B4B54DD" w14:textId="77777777" w:rsidR="00C343B4" w:rsidRDefault="00C343B4">
      <w:pPr>
        <w:rPr>
          <w:lang w:val="en-GB"/>
        </w:rPr>
      </w:pPr>
    </w:p>
    <w:p w14:paraId="34035191" w14:textId="77777777" w:rsidR="007E5E60" w:rsidRDefault="007E5E60">
      <w:pPr>
        <w:rPr>
          <w:lang w:val="en-GB"/>
        </w:rPr>
      </w:pPr>
    </w:p>
    <w:p w14:paraId="7E5CF2C0" w14:textId="77777777" w:rsidR="002B67C5" w:rsidRPr="00113E05" w:rsidRDefault="002D6DB6" w:rsidP="002B67C5">
      <w:pPr>
        <w:rPr>
          <w:lang w:val="en-GB"/>
        </w:rPr>
      </w:pPr>
      <w:r>
        <w:rPr>
          <w:noProof/>
        </w:rPr>
        <w:drawing>
          <wp:inline distT="0" distB="0" distL="0" distR="0" wp14:anchorId="1650ADA9" wp14:editId="3022E138">
            <wp:extent cx="5943600" cy="11353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7-02-26 at 12.41.5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1135380"/>
                    </a:xfrm>
                    <a:prstGeom prst="rect">
                      <a:avLst/>
                    </a:prstGeom>
                  </pic:spPr>
                </pic:pic>
              </a:graphicData>
            </a:graphic>
          </wp:inline>
        </w:drawing>
      </w:r>
    </w:p>
    <w:p w14:paraId="4ED9B01A" w14:textId="77777777" w:rsidR="002B67C5" w:rsidRPr="00113E05" w:rsidRDefault="002B67C5" w:rsidP="002B67C5">
      <w:pPr>
        <w:rPr>
          <w:lang w:val="en-GB"/>
        </w:rPr>
      </w:pPr>
    </w:p>
    <w:p w14:paraId="1045B522" w14:textId="2D3EEA73" w:rsidR="002B67C5" w:rsidRPr="00113E05" w:rsidRDefault="002B67C5" w:rsidP="002B67C5">
      <w:pPr>
        <w:pStyle w:val="Caption"/>
        <w:rPr>
          <w:lang w:val="en-GB"/>
        </w:rPr>
      </w:pPr>
      <w:bookmarkStart w:id="20" w:name="_Ref475874942"/>
      <w:bookmarkStart w:id="21" w:name="_Ref475874924"/>
      <w:r w:rsidRPr="00113E05">
        <w:rPr>
          <w:lang w:val="en-GB"/>
        </w:rPr>
        <w:t xml:space="preserve">Figure </w:t>
      </w:r>
      <w:r w:rsidR="007018C6" w:rsidRPr="00113E05">
        <w:rPr>
          <w:lang w:val="en-GB"/>
        </w:rPr>
        <w:fldChar w:fldCharType="begin"/>
      </w:r>
      <w:r w:rsidRPr="00113E05">
        <w:rPr>
          <w:lang w:val="en-GB"/>
        </w:rPr>
        <w:instrText xml:space="preserve"> SEQ Figure \* ARABIC </w:instrText>
      </w:r>
      <w:r w:rsidR="007018C6" w:rsidRPr="00113E05">
        <w:rPr>
          <w:lang w:val="en-GB"/>
        </w:rPr>
        <w:fldChar w:fldCharType="separate"/>
      </w:r>
      <w:r w:rsidR="00F64722">
        <w:rPr>
          <w:noProof/>
          <w:lang w:val="en-GB"/>
        </w:rPr>
        <w:t>5</w:t>
      </w:r>
      <w:r w:rsidR="007018C6" w:rsidRPr="00113E05">
        <w:rPr>
          <w:lang w:val="en-GB"/>
        </w:rPr>
        <w:fldChar w:fldCharType="end"/>
      </w:r>
      <w:bookmarkEnd w:id="20"/>
      <w:r w:rsidR="00A73D30">
        <w:rPr>
          <w:lang w:val="en-GB"/>
        </w:rPr>
        <w:t>: Equity</w:t>
      </w:r>
      <w:r w:rsidRPr="00113E05">
        <w:rPr>
          <w:lang w:val="en-GB"/>
        </w:rPr>
        <w:t xml:space="preserve"> Scenario - Buy-Side uses D2C Trading Venue to access Liquidity</w:t>
      </w:r>
      <w:bookmarkEnd w:id="21"/>
    </w:p>
    <w:p w14:paraId="5D428B1A" w14:textId="203E7114" w:rsidR="002B67C5" w:rsidRPr="00113E05" w:rsidRDefault="00A73D30" w:rsidP="002B67C5">
      <w:pPr>
        <w:rPr>
          <w:lang w:val="en-GB"/>
        </w:rPr>
      </w:pPr>
      <w:r>
        <w:rPr>
          <w:lang w:val="en-GB"/>
        </w:rPr>
        <w:t>Th</w:t>
      </w:r>
      <w:r w:rsidR="00C343B4">
        <w:rPr>
          <w:lang w:val="en-GB"/>
        </w:rPr>
        <w:t>e fifth</w:t>
      </w:r>
      <w:r>
        <w:rPr>
          <w:lang w:val="en-GB"/>
        </w:rPr>
        <w:t xml:space="preserve"> equity</w:t>
      </w:r>
      <w:r w:rsidR="002B67C5" w:rsidRPr="00113E05">
        <w:rPr>
          <w:lang w:val="en-GB"/>
        </w:rPr>
        <w:t xml:space="preserve"> scenario in </w:t>
      </w:r>
      <w:r w:rsidR="007018C6">
        <w:rPr>
          <w:lang w:val="en-GB"/>
        </w:rPr>
        <w:fldChar w:fldCharType="begin"/>
      </w:r>
      <w:r>
        <w:rPr>
          <w:lang w:val="en-GB"/>
        </w:rPr>
        <w:instrText xml:space="preserve"> REF _Ref475874942 \h </w:instrText>
      </w:r>
      <w:r w:rsidR="007018C6">
        <w:rPr>
          <w:lang w:val="en-GB"/>
        </w:rPr>
      </w:r>
      <w:r w:rsidR="007018C6">
        <w:rPr>
          <w:lang w:val="en-GB"/>
        </w:rPr>
        <w:fldChar w:fldCharType="separate"/>
      </w:r>
      <w:r w:rsidR="00F64722" w:rsidRPr="00113E05">
        <w:rPr>
          <w:lang w:val="en-GB"/>
        </w:rPr>
        <w:t xml:space="preserve">Figure </w:t>
      </w:r>
      <w:r w:rsidR="00F64722">
        <w:rPr>
          <w:noProof/>
          <w:lang w:val="en-GB"/>
        </w:rPr>
        <w:t>5</w:t>
      </w:r>
      <w:r w:rsidR="007018C6">
        <w:rPr>
          <w:lang w:val="en-GB"/>
        </w:rPr>
        <w:fldChar w:fldCharType="end"/>
      </w:r>
      <w:r>
        <w:rPr>
          <w:lang w:val="en-GB"/>
        </w:rPr>
        <w:t xml:space="preserve"> </w:t>
      </w:r>
      <w:r w:rsidR="002B67C5" w:rsidRPr="00113E05">
        <w:rPr>
          <w:lang w:val="en-GB"/>
        </w:rPr>
        <w:t>represents the situation where the Buy-Side firm uses a D2C</w:t>
      </w:r>
      <w:r w:rsidR="002B67C5">
        <w:rPr>
          <w:lang w:val="en-GB"/>
        </w:rPr>
        <w:t xml:space="preserve"> (Direct to Counterparty)</w:t>
      </w:r>
      <w:r w:rsidR="002B67C5" w:rsidRPr="00113E05">
        <w:rPr>
          <w:lang w:val="en-GB"/>
        </w:rPr>
        <w:t xml:space="preserve"> Trading Venue to access liquidity.</w:t>
      </w:r>
    </w:p>
    <w:p w14:paraId="5CDF55A9" w14:textId="064B787A" w:rsidR="002B67C5" w:rsidRPr="00113E05" w:rsidRDefault="002B67C5" w:rsidP="002B67C5">
      <w:pPr>
        <w:rPr>
          <w:lang w:val="en-GB"/>
        </w:rPr>
      </w:pPr>
      <w:r w:rsidRPr="00113E05">
        <w:rPr>
          <w:lang w:val="en-GB"/>
        </w:rPr>
        <w:t xml:space="preserve">The Buy-Side firm sends an RFQ to the Trading Venue which distributes the request to multiple </w:t>
      </w:r>
      <w:r w:rsidR="0076596C">
        <w:rPr>
          <w:lang w:val="en-GB"/>
        </w:rPr>
        <w:t>providers of liquidity.</w:t>
      </w:r>
    </w:p>
    <w:p w14:paraId="775E5550" w14:textId="4C46156B" w:rsidR="002773BC" w:rsidRPr="00FF5C88" w:rsidRDefault="002B67C5" w:rsidP="00F842B7">
      <w:pPr>
        <w:pStyle w:val="ListParagraph"/>
        <w:numPr>
          <w:ilvl w:val="0"/>
          <w:numId w:val="21"/>
        </w:numPr>
        <w:rPr>
          <w:rFonts w:ascii="Calibri" w:hAnsi="Calibri"/>
          <w:szCs w:val="22"/>
        </w:rPr>
      </w:pPr>
      <w:r w:rsidRPr="002773BC">
        <w:rPr>
          <w:b/>
          <w:lang w:val="en-GB"/>
        </w:rPr>
        <w:t>The Buy-Side</w:t>
      </w:r>
      <w:r w:rsidRPr="002773BC">
        <w:rPr>
          <w:lang w:val="en-GB"/>
        </w:rPr>
        <w:t xml:space="preserve"> must generate an RTS 28 report, </w:t>
      </w:r>
      <w:r w:rsidR="002773BC" w:rsidRPr="00FF5C88">
        <w:t xml:space="preserve">which identifies the Top 5 Execution Venues it transmitted orders to which resulted in an execution </w:t>
      </w:r>
    </w:p>
    <w:p w14:paraId="5D606713" w14:textId="4198B2FC" w:rsidR="002B67C5" w:rsidRPr="00113E05" w:rsidRDefault="002B67C5" w:rsidP="00A9410B">
      <w:pPr>
        <w:pStyle w:val="ListParagraph"/>
        <w:numPr>
          <w:ilvl w:val="0"/>
          <w:numId w:val="10"/>
        </w:numPr>
        <w:rPr>
          <w:lang w:val="en-GB"/>
        </w:rPr>
      </w:pPr>
      <w:r w:rsidRPr="00113E05">
        <w:rPr>
          <w:b/>
          <w:lang w:val="en-GB"/>
        </w:rPr>
        <w:t xml:space="preserve">The </w:t>
      </w:r>
      <w:r w:rsidR="0076596C">
        <w:rPr>
          <w:b/>
          <w:lang w:val="en-GB"/>
        </w:rPr>
        <w:t>Counterparty</w:t>
      </w:r>
      <w:r w:rsidRPr="00113E05">
        <w:rPr>
          <w:b/>
          <w:lang w:val="en-GB"/>
        </w:rPr>
        <w:t xml:space="preserve"> Firm</w:t>
      </w:r>
      <w:r w:rsidRPr="00113E05">
        <w:rPr>
          <w:lang w:val="en-GB"/>
        </w:rPr>
        <w:t xml:space="preserve"> does not include this flow in its RTS 28 report as it is not dealing directly with client orders.</w:t>
      </w:r>
      <w:r w:rsidRPr="00113E05">
        <w:rPr>
          <w:lang w:val="en-GB"/>
        </w:rPr>
        <w:br/>
        <w:t>As the firm is providing liquidity on the Trading Venue and is not the Execution Venue, the Sell-Side firm does not produce an RTS 27 Report.</w:t>
      </w:r>
    </w:p>
    <w:p w14:paraId="565F3A5D" w14:textId="77777777" w:rsidR="002B67C5" w:rsidRDefault="002B67C5" w:rsidP="00A9410B">
      <w:pPr>
        <w:pStyle w:val="ListParagraph"/>
        <w:numPr>
          <w:ilvl w:val="0"/>
          <w:numId w:val="10"/>
        </w:numPr>
        <w:rPr>
          <w:lang w:val="en-GB"/>
        </w:rPr>
      </w:pPr>
      <w:r w:rsidRPr="00113E05">
        <w:rPr>
          <w:b/>
          <w:lang w:val="en-GB"/>
        </w:rPr>
        <w:t>The Trading Venue</w:t>
      </w:r>
      <w:r w:rsidRPr="00113E05">
        <w:rPr>
          <w:lang w:val="en-GB"/>
        </w:rPr>
        <w:t xml:space="preserve"> must generate an RTS 27 report.</w:t>
      </w:r>
    </w:p>
    <w:p w14:paraId="58D431C9" w14:textId="77777777" w:rsidR="00FF5C88" w:rsidRDefault="00FF5C88" w:rsidP="00FF5C88">
      <w:pPr>
        <w:rPr>
          <w:lang w:val="en-GB"/>
        </w:rPr>
      </w:pPr>
    </w:p>
    <w:p w14:paraId="6C0C7A73" w14:textId="77777777" w:rsidR="00FF5C88" w:rsidRPr="00FF5C88" w:rsidRDefault="00FF5C88" w:rsidP="00FF5C88">
      <w:pPr>
        <w:rPr>
          <w:lang w:val="en-GB"/>
        </w:rPr>
      </w:pPr>
    </w:p>
    <w:p w14:paraId="1E4EE24C" w14:textId="77777777" w:rsidR="002B67C5" w:rsidRDefault="002B67C5">
      <w:pPr>
        <w:rPr>
          <w:lang w:val="en-GB"/>
        </w:rPr>
      </w:pPr>
    </w:p>
    <w:p w14:paraId="534C2F49" w14:textId="2EC1998F" w:rsidR="00730DFB" w:rsidRPr="00995AAB" w:rsidRDefault="00D05C2F">
      <w:pPr>
        <w:rPr>
          <w:lang w:val="en-GB"/>
        </w:rPr>
      </w:pPr>
      <w:r w:rsidRPr="00D05C2F">
        <w:rPr>
          <w:noProof/>
        </w:rPr>
        <w:lastRenderedPageBreak/>
        <w:drawing>
          <wp:inline distT="0" distB="0" distL="0" distR="0" wp14:anchorId="542CD96A" wp14:editId="29C3FA02">
            <wp:extent cx="5943600" cy="11226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122680"/>
                    </a:xfrm>
                    <a:prstGeom prst="rect">
                      <a:avLst/>
                    </a:prstGeom>
                  </pic:spPr>
                </pic:pic>
              </a:graphicData>
            </a:graphic>
          </wp:inline>
        </w:drawing>
      </w:r>
    </w:p>
    <w:p w14:paraId="2CBEEDC5" w14:textId="77777777" w:rsidR="00730DFB" w:rsidRDefault="00730DFB">
      <w:pPr>
        <w:rPr>
          <w:lang w:val="en-GB"/>
        </w:rPr>
      </w:pPr>
    </w:p>
    <w:p w14:paraId="33B467C6" w14:textId="7950CAE2" w:rsidR="00730DFB" w:rsidRPr="00113E05" w:rsidRDefault="00730DFB" w:rsidP="00730DFB">
      <w:pPr>
        <w:pStyle w:val="Caption"/>
        <w:rPr>
          <w:lang w:val="en-GB"/>
        </w:rPr>
      </w:pPr>
      <w:bookmarkStart w:id="22" w:name="_Ref475876685"/>
      <w:r w:rsidRPr="00017096">
        <w:rPr>
          <w:lang w:val="en-GB"/>
        </w:rPr>
        <w:t xml:space="preserve">Figure </w:t>
      </w:r>
      <w:r w:rsidR="007018C6" w:rsidRPr="00017096">
        <w:rPr>
          <w:lang w:val="en-GB"/>
        </w:rPr>
        <w:fldChar w:fldCharType="begin"/>
      </w:r>
      <w:r w:rsidRPr="00017096">
        <w:rPr>
          <w:lang w:val="en-GB"/>
        </w:rPr>
        <w:instrText xml:space="preserve"> SEQ Figure \* ARABIC </w:instrText>
      </w:r>
      <w:r w:rsidR="007018C6" w:rsidRPr="00017096">
        <w:rPr>
          <w:lang w:val="en-GB"/>
        </w:rPr>
        <w:fldChar w:fldCharType="separate"/>
      </w:r>
      <w:r w:rsidR="00F64722">
        <w:rPr>
          <w:noProof/>
          <w:lang w:val="en-GB"/>
        </w:rPr>
        <w:t>6</w:t>
      </w:r>
      <w:r w:rsidR="007018C6" w:rsidRPr="00017096">
        <w:rPr>
          <w:lang w:val="en-GB"/>
        </w:rPr>
        <w:fldChar w:fldCharType="end"/>
      </w:r>
      <w:bookmarkEnd w:id="22"/>
      <w:r w:rsidRPr="00017096">
        <w:rPr>
          <w:lang w:val="en-GB"/>
        </w:rPr>
        <w:t>: Equity</w:t>
      </w:r>
      <w:r w:rsidR="00E63C57" w:rsidRPr="00017096">
        <w:rPr>
          <w:lang w:val="en-GB"/>
        </w:rPr>
        <w:t xml:space="preserve"> Scenario - Buy-Side uses Sell-Side DEA</w:t>
      </w:r>
      <w:r w:rsidRPr="00017096">
        <w:rPr>
          <w:lang w:val="en-GB"/>
        </w:rPr>
        <w:t xml:space="preserve"> </w:t>
      </w:r>
      <w:r w:rsidR="00E63C57" w:rsidRPr="00017096">
        <w:rPr>
          <w:lang w:val="en-GB"/>
        </w:rPr>
        <w:t xml:space="preserve">to access </w:t>
      </w:r>
      <w:r w:rsidRPr="00017096">
        <w:rPr>
          <w:lang w:val="en-GB"/>
        </w:rPr>
        <w:t>Trading Ven</w:t>
      </w:r>
      <w:r w:rsidR="00E63C57" w:rsidRPr="00017096">
        <w:rPr>
          <w:lang w:val="en-GB"/>
        </w:rPr>
        <w:t>ue</w:t>
      </w:r>
    </w:p>
    <w:p w14:paraId="2AFDDC2A" w14:textId="7C451F63" w:rsidR="00730DFB" w:rsidRPr="00113E05" w:rsidRDefault="00730DFB" w:rsidP="00730DFB">
      <w:pPr>
        <w:rPr>
          <w:lang w:val="en-GB"/>
        </w:rPr>
      </w:pPr>
      <w:r>
        <w:rPr>
          <w:lang w:val="en-GB"/>
        </w:rPr>
        <w:t>Th</w:t>
      </w:r>
      <w:r w:rsidR="007620D5">
        <w:rPr>
          <w:lang w:val="en-GB"/>
        </w:rPr>
        <w:t>e sixth</w:t>
      </w:r>
      <w:r>
        <w:rPr>
          <w:lang w:val="en-GB"/>
        </w:rPr>
        <w:t xml:space="preserve"> equity</w:t>
      </w:r>
      <w:r w:rsidRPr="00113E05">
        <w:rPr>
          <w:lang w:val="en-GB"/>
        </w:rPr>
        <w:t xml:space="preserve"> scenario in </w:t>
      </w:r>
      <w:r w:rsidR="007018C6">
        <w:rPr>
          <w:lang w:val="en-GB"/>
        </w:rPr>
        <w:fldChar w:fldCharType="begin"/>
      </w:r>
      <w:r>
        <w:rPr>
          <w:lang w:val="en-GB"/>
        </w:rPr>
        <w:instrText xml:space="preserve"> REF _Ref475876685 \h </w:instrText>
      </w:r>
      <w:r w:rsidR="007018C6">
        <w:rPr>
          <w:lang w:val="en-GB"/>
        </w:rPr>
      </w:r>
      <w:r w:rsidR="007018C6">
        <w:rPr>
          <w:lang w:val="en-GB"/>
        </w:rPr>
        <w:fldChar w:fldCharType="separate"/>
      </w:r>
      <w:r w:rsidR="00F64722" w:rsidRPr="00017096">
        <w:rPr>
          <w:lang w:val="en-GB"/>
        </w:rPr>
        <w:t xml:space="preserve">Figure </w:t>
      </w:r>
      <w:r w:rsidR="00F64722">
        <w:rPr>
          <w:noProof/>
          <w:lang w:val="en-GB"/>
        </w:rPr>
        <w:t>6</w:t>
      </w:r>
      <w:r w:rsidR="007018C6">
        <w:rPr>
          <w:lang w:val="en-GB"/>
        </w:rPr>
        <w:fldChar w:fldCharType="end"/>
      </w:r>
      <w:r>
        <w:rPr>
          <w:lang w:val="en-GB"/>
        </w:rPr>
        <w:t xml:space="preserve"> </w:t>
      </w:r>
      <w:r w:rsidRPr="00113E05">
        <w:rPr>
          <w:lang w:val="en-GB"/>
        </w:rPr>
        <w:t>represents the situatio</w:t>
      </w:r>
      <w:r w:rsidR="007620D5">
        <w:rPr>
          <w:lang w:val="en-GB"/>
        </w:rPr>
        <w:t>n where the Buy-Side firm uses</w:t>
      </w:r>
      <w:r w:rsidRPr="00113E05">
        <w:rPr>
          <w:lang w:val="en-GB"/>
        </w:rPr>
        <w:t xml:space="preserve"> </w:t>
      </w:r>
      <w:r>
        <w:rPr>
          <w:lang w:val="en-GB"/>
        </w:rPr>
        <w:t>D</w:t>
      </w:r>
      <w:r w:rsidR="007620D5">
        <w:rPr>
          <w:lang w:val="en-GB"/>
        </w:rPr>
        <w:t xml:space="preserve">irect </w:t>
      </w:r>
      <w:r>
        <w:rPr>
          <w:lang w:val="en-GB"/>
        </w:rPr>
        <w:t>E</w:t>
      </w:r>
      <w:r w:rsidR="007620D5">
        <w:rPr>
          <w:lang w:val="en-GB"/>
        </w:rPr>
        <w:t xml:space="preserve">lectronic </w:t>
      </w:r>
      <w:r>
        <w:rPr>
          <w:lang w:val="en-GB"/>
        </w:rPr>
        <w:t>A</w:t>
      </w:r>
      <w:r w:rsidR="007620D5">
        <w:rPr>
          <w:lang w:val="en-GB"/>
        </w:rPr>
        <w:t>ccess</w:t>
      </w:r>
      <w:r>
        <w:rPr>
          <w:lang w:val="en-GB"/>
        </w:rPr>
        <w:t xml:space="preserve"> </w:t>
      </w:r>
      <w:r w:rsidR="007620D5">
        <w:rPr>
          <w:lang w:val="en-GB"/>
        </w:rPr>
        <w:t xml:space="preserve">to the Trading Venue </w:t>
      </w:r>
      <w:r>
        <w:rPr>
          <w:lang w:val="en-GB"/>
        </w:rPr>
        <w:t xml:space="preserve">provided by the Sell-Side </w:t>
      </w:r>
      <w:r w:rsidR="007620D5">
        <w:rPr>
          <w:lang w:val="en-GB"/>
        </w:rPr>
        <w:t>Firm</w:t>
      </w:r>
      <w:r w:rsidRPr="00113E05">
        <w:rPr>
          <w:lang w:val="en-GB"/>
        </w:rPr>
        <w:t>.</w:t>
      </w:r>
    </w:p>
    <w:p w14:paraId="3FF0F760" w14:textId="7AB16E21" w:rsidR="00B75C88" w:rsidRDefault="00730DFB" w:rsidP="00A9410B">
      <w:pPr>
        <w:pStyle w:val="ListParagraph"/>
        <w:numPr>
          <w:ilvl w:val="0"/>
          <w:numId w:val="10"/>
        </w:numPr>
        <w:rPr>
          <w:lang w:val="en-GB"/>
        </w:rPr>
      </w:pPr>
      <w:r w:rsidRPr="00113E05">
        <w:rPr>
          <w:b/>
          <w:lang w:val="en-GB"/>
        </w:rPr>
        <w:t>The Buy-Side</w:t>
      </w:r>
      <w:r w:rsidRPr="00113E05">
        <w:rPr>
          <w:lang w:val="en-GB"/>
        </w:rPr>
        <w:t xml:space="preserve"> must generate a</w:t>
      </w:r>
      <w:r w:rsidR="00B75C88">
        <w:rPr>
          <w:lang w:val="en-GB"/>
        </w:rPr>
        <w:t xml:space="preserve"> report under Article 65.6 identifying the firm that has provided  DEA access</w:t>
      </w:r>
      <w:r w:rsidR="007C2DEE">
        <w:rPr>
          <w:lang w:val="en-GB"/>
        </w:rPr>
        <w:t xml:space="preserve"> and an RTS 28 report </w:t>
      </w:r>
      <w:r w:rsidR="007C2DEE" w:rsidRPr="00B75C88">
        <w:rPr>
          <w:lang w:val="en-GB"/>
        </w:rPr>
        <w:t>report, identifying the relevant venue as one of their Top 5 Execution Ven</w:t>
      </w:r>
      <w:r w:rsidR="007C2DEE">
        <w:rPr>
          <w:lang w:val="en-GB"/>
        </w:rPr>
        <w:t>ues (if it qualifies)</w:t>
      </w:r>
      <w:r w:rsidR="007C2DEE" w:rsidRPr="00B75C88">
        <w:rPr>
          <w:lang w:val="en-GB"/>
        </w:rPr>
        <w:t>.</w:t>
      </w:r>
    </w:p>
    <w:p w14:paraId="67F40ACD" w14:textId="0A5B8437" w:rsidR="00730DFB" w:rsidRPr="00B75C88" w:rsidRDefault="00B75C88" w:rsidP="00A9410B">
      <w:pPr>
        <w:pStyle w:val="ListParagraph"/>
        <w:numPr>
          <w:ilvl w:val="0"/>
          <w:numId w:val="10"/>
        </w:numPr>
        <w:rPr>
          <w:lang w:val="en-GB"/>
        </w:rPr>
      </w:pPr>
      <w:r w:rsidRPr="00B75C88">
        <w:rPr>
          <w:lang w:val="en-GB"/>
        </w:rPr>
        <w:t xml:space="preserve">The </w:t>
      </w:r>
      <w:r w:rsidRPr="00B75C88">
        <w:rPr>
          <w:b/>
          <w:lang w:val="en-GB"/>
        </w:rPr>
        <w:t>DEA Provider</w:t>
      </w:r>
      <w:r w:rsidRPr="00B75C88">
        <w:rPr>
          <w:lang w:val="en-GB"/>
        </w:rPr>
        <w:t xml:space="preserve"> completes a</w:t>
      </w:r>
      <w:r w:rsidR="00730DFB" w:rsidRPr="00B75C88">
        <w:rPr>
          <w:lang w:val="en-GB"/>
        </w:rPr>
        <w:t xml:space="preserve">n RTS 28 report, identifying the </w:t>
      </w:r>
      <w:r w:rsidRPr="00B75C88">
        <w:rPr>
          <w:lang w:val="en-GB"/>
        </w:rPr>
        <w:t xml:space="preserve">relevant venue </w:t>
      </w:r>
      <w:r w:rsidR="00730DFB" w:rsidRPr="00B75C88">
        <w:rPr>
          <w:lang w:val="en-GB"/>
        </w:rPr>
        <w:t>as one of the</w:t>
      </w:r>
      <w:r w:rsidRPr="00B75C88">
        <w:rPr>
          <w:lang w:val="en-GB"/>
        </w:rPr>
        <w:t>ir</w:t>
      </w:r>
      <w:r w:rsidR="00730DFB" w:rsidRPr="00B75C88">
        <w:rPr>
          <w:lang w:val="en-GB"/>
        </w:rPr>
        <w:t xml:space="preserve"> Top 5 Exe</w:t>
      </w:r>
      <w:r w:rsidR="00CF540A" w:rsidRPr="00B75C88">
        <w:rPr>
          <w:lang w:val="en-GB"/>
        </w:rPr>
        <w:t>cution Venues (if it qualifies) including this in its % of directed orders.</w:t>
      </w:r>
    </w:p>
    <w:p w14:paraId="7B0E3315" w14:textId="7C9FC97D" w:rsidR="0054487B" w:rsidRDefault="00730DFB" w:rsidP="0054487B">
      <w:pPr>
        <w:pStyle w:val="ListParagraph"/>
        <w:numPr>
          <w:ilvl w:val="0"/>
          <w:numId w:val="10"/>
        </w:numPr>
        <w:rPr>
          <w:lang w:val="en-GB"/>
        </w:rPr>
      </w:pPr>
      <w:r w:rsidRPr="00995AAB">
        <w:rPr>
          <w:b/>
          <w:lang w:val="en-GB"/>
        </w:rPr>
        <w:t xml:space="preserve">The </w:t>
      </w:r>
      <w:r w:rsidR="00B75C88">
        <w:rPr>
          <w:b/>
          <w:lang w:val="en-GB"/>
        </w:rPr>
        <w:t>relevant</w:t>
      </w:r>
      <w:r w:rsidR="00B75C88" w:rsidRPr="00995AAB">
        <w:rPr>
          <w:b/>
          <w:lang w:val="en-GB"/>
        </w:rPr>
        <w:t xml:space="preserve"> </w:t>
      </w:r>
      <w:r w:rsidR="00B75C88">
        <w:rPr>
          <w:b/>
          <w:lang w:val="en-GB"/>
        </w:rPr>
        <w:t>v</w:t>
      </w:r>
      <w:r w:rsidRPr="00995AAB">
        <w:rPr>
          <w:b/>
          <w:lang w:val="en-GB"/>
        </w:rPr>
        <w:t>enue</w:t>
      </w:r>
      <w:r w:rsidRPr="007620D5">
        <w:rPr>
          <w:lang w:val="en-GB"/>
        </w:rPr>
        <w:t xml:space="preserve"> must generate an RTS 27 report.</w:t>
      </w:r>
    </w:p>
    <w:p w14:paraId="79E8550F" w14:textId="77777777" w:rsidR="0054487B" w:rsidRDefault="0054487B" w:rsidP="0054487B">
      <w:pPr>
        <w:pStyle w:val="ListParagraph"/>
        <w:rPr>
          <w:b/>
          <w:lang w:val="en-GB"/>
        </w:rPr>
      </w:pPr>
    </w:p>
    <w:p w14:paraId="031D4805" w14:textId="0D4CF99A" w:rsidR="003D5399" w:rsidRDefault="003D5399" w:rsidP="003D5399">
      <w:pPr>
        <w:rPr>
          <w:b/>
          <w:lang w:val="en-GB"/>
        </w:rPr>
      </w:pPr>
      <w:r>
        <w:rPr>
          <w:b/>
          <w:lang w:val="en-GB"/>
        </w:rPr>
        <w:br w:type="page"/>
      </w:r>
    </w:p>
    <w:p w14:paraId="39DDC80F" w14:textId="6ACA9CA5" w:rsidR="00B61599" w:rsidRPr="0054487B" w:rsidRDefault="00B61599" w:rsidP="0054487B">
      <w:pPr>
        <w:pStyle w:val="Heading2"/>
        <w:rPr>
          <w:lang w:val="en-GB"/>
        </w:rPr>
      </w:pPr>
      <w:bookmarkStart w:id="23" w:name="_Toc495562553"/>
      <w:r w:rsidRPr="0054487B">
        <w:rPr>
          <w:lang w:val="en-GB"/>
        </w:rPr>
        <w:lastRenderedPageBreak/>
        <w:t>Bonds</w:t>
      </w:r>
      <w:bookmarkEnd w:id="23"/>
    </w:p>
    <w:p w14:paraId="0C50A81E" w14:textId="77777777" w:rsidR="00B61599" w:rsidRPr="00995AAB" w:rsidRDefault="00B61599" w:rsidP="00DB5387">
      <w:pPr>
        <w:rPr>
          <w:lang w:val="en-GB"/>
        </w:rPr>
      </w:pPr>
    </w:p>
    <w:p w14:paraId="0D4E3103" w14:textId="77777777" w:rsidR="00B61599" w:rsidRDefault="00E2582D" w:rsidP="00DB5387">
      <w:pPr>
        <w:rPr>
          <w:lang w:val="en-GB"/>
        </w:rPr>
      </w:pPr>
      <w:r>
        <w:rPr>
          <w:noProof/>
        </w:rPr>
        <w:drawing>
          <wp:inline distT="0" distB="0" distL="0" distR="0" wp14:anchorId="39EC769B" wp14:editId="3F8EF166">
            <wp:extent cx="5943600" cy="1105535"/>
            <wp:effectExtent l="0" t="0" r="0" b="120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7-02-20 at 21.13.38.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1105535"/>
                    </a:xfrm>
                    <a:prstGeom prst="rect">
                      <a:avLst/>
                    </a:prstGeom>
                  </pic:spPr>
                </pic:pic>
              </a:graphicData>
            </a:graphic>
          </wp:inline>
        </w:drawing>
      </w:r>
    </w:p>
    <w:p w14:paraId="17442DF2" w14:textId="77777777" w:rsidR="00C21565" w:rsidRPr="00995AAB" w:rsidRDefault="00C21565" w:rsidP="00DB5387">
      <w:pPr>
        <w:rPr>
          <w:lang w:val="en-GB"/>
        </w:rPr>
      </w:pPr>
    </w:p>
    <w:p w14:paraId="0BBAF6B7" w14:textId="28FB1C9D" w:rsidR="005329FB" w:rsidRPr="00995AAB" w:rsidRDefault="005329FB" w:rsidP="00995AAB">
      <w:pPr>
        <w:pStyle w:val="Caption"/>
        <w:rPr>
          <w:lang w:val="en-GB"/>
        </w:rPr>
      </w:pPr>
      <w:bookmarkStart w:id="24" w:name="_Ref469378670"/>
      <w:r w:rsidRPr="00995AAB">
        <w:rPr>
          <w:lang w:val="en-GB"/>
        </w:rPr>
        <w:t xml:space="preserve">Figure </w:t>
      </w:r>
      <w:r w:rsidR="007018C6" w:rsidRPr="00995AAB">
        <w:rPr>
          <w:lang w:val="en-GB"/>
        </w:rPr>
        <w:fldChar w:fldCharType="begin"/>
      </w:r>
      <w:r w:rsidRPr="00995AAB">
        <w:rPr>
          <w:lang w:val="en-GB"/>
        </w:rPr>
        <w:instrText xml:space="preserve"> SEQ Figure \* ARABIC </w:instrText>
      </w:r>
      <w:r w:rsidR="007018C6" w:rsidRPr="00995AAB">
        <w:rPr>
          <w:lang w:val="en-GB"/>
        </w:rPr>
        <w:fldChar w:fldCharType="separate"/>
      </w:r>
      <w:r w:rsidR="00F64722">
        <w:rPr>
          <w:noProof/>
          <w:lang w:val="en-GB"/>
        </w:rPr>
        <w:t>7</w:t>
      </w:r>
      <w:r w:rsidR="007018C6" w:rsidRPr="00995AAB">
        <w:rPr>
          <w:lang w:val="en-GB"/>
        </w:rPr>
        <w:fldChar w:fldCharType="end"/>
      </w:r>
      <w:bookmarkEnd w:id="24"/>
      <w:r w:rsidR="001C60EE" w:rsidRPr="00995AAB">
        <w:rPr>
          <w:lang w:val="en-GB"/>
        </w:rPr>
        <w:t>: Bond Scenario – Buy-Side RFQ with Sell-Side (1). Sell-Side</w:t>
      </w:r>
      <w:r w:rsidRPr="00995AAB">
        <w:rPr>
          <w:lang w:val="en-GB"/>
        </w:rPr>
        <w:t xml:space="preserve"> </w:t>
      </w:r>
      <w:r w:rsidR="001C60EE" w:rsidRPr="00995AAB">
        <w:rPr>
          <w:lang w:val="en-GB"/>
        </w:rPr>
        <w:t>quotes &amp; trades</w:t>
      </w:r>
      <w:r w:rsidRPr="00995AAB">
        <w:rPr>
          <w:lang w:val="en-GB"/>
        </w:rPr>
        <w:t xml:space="preserve"> off own book</w:t>
      </w:r>
      <w:r w:rsidR="001C60EE" w:rsidRPr="00995AAB">
        <w:rPr>
          <w:lang w:val="en-GB"/>
        </w:rPr>
        <w:t>.</w:t>
      </w:r>
    </w:p>
    <w:p w14:paraId="1E978DEB" w14:textId="485F3CFA" w:rsidR="008101B2" w:rsidRPr="00995AAB" w:rsidRDefault="008101B2" w:rsidP="008101B2">
      <w:pPr>
        <w:rPr>
          <w:lang w:val="en-GB"/>
        </w:rPr>
      </w:pPr>
      <w:r w:rsidRPr="00995AAB">
        <w:rPr>
          <w:lang w:val="en-GB"/>
        </w:rPr>
        <w:t xml:space="preserve">The first bond scenario in </w:t>
      </w:r>
      <w:r w:rsidR="007018C6" w:rsidRPr="00995AAB">
        <w:rPr>
          <w:lang w:val="en-GB"/>
        </w:rPr>
        <w:fldChar w:fldCharType="begin"/>
      </w:r>
      <w:r w:rsidRPr="00995AAB">
        <w:rPr>
          <w:lang w:val="en-GB"/>
        </w:rPr>
        <w:instrText xml:space="preserve"> REF _Ref469378670 \h </w:instrText>
      </w:r>
      <w:r w:rsidR="007018C6" w:rsidRPr="00995AAB">
        <w:rPr>
          <w:lang w:val="en-GB"/>
        </w:rPr>
      </w:r>
      <w:r w:rsidR="007018C6" w:rsidRPr="00995AAB">
        <w:rPr>
          <w:lang w:val="en-GB"/>
        </w:rPr>
        <w:fldChar w:fldCharType="separate"/>
      </w:r>
      <w:r w:rsidR="00F64722" w:rsidRPr="00995AAB">
        <w:rPr>
          <w:lang w:val="en-GB"/>
        </w:rPr>
        <w:t xml:space="preserve">Figure </w:t>
      </w:r>
      <w:r w:rsidR="00F64722">
        <w:rPr>
          <w:noProof/>
          <w:lang w:val="en-GB"/>
        </w:rPr>
        <w:t>7</w:t>
      </w:r>
      <w:r w:rsidR="007018C6" w:rsidRPr="00995AAB">
        <w:rPr>
          <w:lang w:val="en-GB"/>
        </w:rPr>
        <w:fldChar w:fldCharType="end"/>
      </w:r>
      <w:r w:rsidRPr="00995AAB">
        <w:rPr>
          <w:lang w:val="en-GB"/>
        </w:rPr>
        <w:t>, represents the situation where the Buy-Side firm requests a quote from the Sell-Side firm to get access to liquidity. The Sell-Side may hold or is willing to take a position in the security rather than route the order to a Regulated Market (RM) or Multilateral Trading Facility (MTF). The Sell-Side firm trades off own book but at a later stage, it may trade on a Trading Venue in order to get out of its position</w:t>
      </w:r>
      <w:r w:rsidR="003F69D2" w:rsidRPr="00995AAB">
        <w:rPr>
          <w:lang w:val="en-GB"/>
        </w:rPr>
        <w:t>.</w:t>
      </w:r>
    </w:p>
    <w:p w14:paraId="372C3621" w14:textId="77777777" w:rsidR="00B25785" w:rsidRPr="00E2582D" w:rsidRDefault="00B25785" w:rsidP="00A9410B">
      <w:pPr>
        <w:pStyle w:val="ListParagraph"/>
        <w:numPr>
          <w:ilvl w:val="0"/>
          <w:numId w:val="10"/>
        </w:numPr>
        <w:rPr>
          <w:lang w:val="en-GB"/>
        </w:rPr>
      </w:pPr>
      <w:r w:rsidRPr="00C671AE">
        <w:rPr>
          <w:b/>
          <w:lang w:val="en-GB"/>
        </w:rPr>
        <w:t>The Buy-Side</w:t>
      </w:r>
      <w:r w:rsidRPr="00C671AE">
        <w:rPr>
          <w:lang w:val="en-GB"/>
        </w:rPr>
        <w:t xml:space="preserve"> </w:t>
      </w:r>
      <w:r w:rsidR="00E2582D" w:rsidRPr="002B66FC">
        <w:rPr>
          <w:lang w:val="en-GB"/>
        </w:rPr>
        <w:t xml:space="preserve">must generate an RTS 28 report, identifying </w:t>
      </w:r>
      <w:r w:rsidR="00E2582D">
        <w:rPr>
          <w:lang w:val="en-GB"/>
        </w:rPr>
        <w:t>Sell-side 1</w:t>
      </w:r>
      <w:r w:rsidR="00E2582D" w:rsidRPr="002B66FC">
        <w:rPr>
          <w:lang w:val="en-GB"/>
        </w:rPr>
        <w:t xml:space="preserve"> as one of the Top 5 Execution Venues (if it qualifies).</w:t>
      </w:r>
    </w:p>
    <w:p w14:paraId="36256DF3" w14:textId="03C5D94A" w:rsidR="00C241F8" w:rsidRPr="00995AAB" w:rsidRDefault="008101B2" w:rsidP="00A9410B">
      <w:pPr>
        <w:pStyle w:val="ListParagraph"/>
        <w:numPr>
          <w:ilvl w:val="0"/>
          <w:numId w:val="11"/>
        </w:numPr>
        <w:rPr>
          <w:lang w:val="en-GB"/>
        </w:rPr>
      </w:pPr>
      <w:r w:rsidRPr="00995AAB">
        <w:rPr>
          <w:b/>
          <w:lang w:val="en-GB"/>
        </w:rPr>
        <w:t xml:space="preserve">The Sell-Side </w:t>
      </w:r>
      <w:r w:rsidRPr="00995AAB">
        <w:rPr>
          <w:lang w:val="en-GB"/>
        </w:rPr>
        <w:t>must generate an RTS 28 report, identifying itself</w:t>
      </w:r>
      <w:r w:rsidR="00B25785">
        <w:rPr>
          <w:lang w:val="en-GB"/>
        </w:rPr>
        <w:t xml:space="preserve"> </w:t>
      </w:r>
      <w:r w:rsidRPr="00995AAB">
        <w:rPr>
          <w:lang w:val="en-GB"/>
        </w:rPr>
        <w:t>as</w:t>
      </w:r>
      <w:r w:rsidR="00C241F8" w:rsidRPr="00995AAB">
        <w:rPr>
          <w:lang w:val="en-GB"/>
        </w:rPr>
        <w:t xml:space="preserve"> the </w:t>
      </w:r>
      <w:r w:rsidRPr="00995AAB">
        <w:rPr>
          <w:lang w:val="en-GB"/>
        </w:rPr>
        <w:t>one Top 5 Execution Venues</w:t>
      </w:r>
      <w:r w:rsidR="00472487">
        <w:rPr>
          <w:lang w:val="en-GB"/>
        </w:rPr>
        <w:t xml:space="preserve"> (if it qualifies)</w:t>
      </w:r>
    </w:p>
    <w:p w14:paraId="54F7D493" w14:textId="77777777" w:rsidR="008101B2" w:rsidRPr="00995AAB" w:rsidRDefault="0063666E" w:rsidP="00A9410B">
      <w:pPr>
        <w:pStyle w:val="ListParagraph"/>
        <w:numPr>
          <w:ilvl w:val="0"/>
          <w:numId w:val="11"/>
        </w:numPr>
        <w:rPr>
          <w:lang w:val="en-GB"/>
        </w:rPr>
      </w:pPr>
      <w:r w:rsidRPr="00995AAB">
        <w:rPr>
          <w:lang w:val="en-GB"/>
        </w:rPr>
        <w:t>As the firm is</w:t>
      </w:r>
      <w:r w:rsidR="008101B2" w:rsidRPr="00995AAB">
        <w:rPr>
          <w:lang w:val="en-GB"/>
        </w:rPr>
        <w:t xml:space="preserve"> providing liquidity to the Buy-Side, th</w:t>
      </w:r>
      <w:r w:rsidR="003A7BB9" w:rsidRPr="00995AAB">
        <w:rPr>
          <w:lang w:val="en-GB"/>
        </w:rPr>
        <w:t>e Sell-Side firm must include this flow in an</w:t>
      </w:r>
      <w:r w:rsidR="008101B2" w:rsidRPr="00995AAB">
        <w:rPr>
          <w:lang w:val="en-GB"/>
        </w:rPr>
        <w:t xml:space="preserve"> RTS 27 Rep</w:t>
      </w:r>
      <w:r w:rsidR="003A7BB9" w:rsidRPr="00995AAB">
        <w:rPr>
          <w:lang w:val="en-GB"/>
        </w:rPr>
        <w:t>ort</w:t>
      </w:r>
      <w:r w:rsidR="008101B2" w:rsidRPr="00995AAB">
        <w:rPr>
          <w:lang w:val="en-GB"/>
        </w:rPr>
        <w:t>.</w:t>
      </w:r>
    </w:p>
    <w:p w14:paraId="42A2E850" w14:textId="77777777" w:rsidR="0063666E" w:rsidRDefault="0063666E" w:rsidP="00A9410B">
      <w:pPr>
        <w:pStyle w:val="ListParagraph"/>
        <w:numPr>
          <w:ilvl w:val="0"/>
          <w:numId w:val="11"/>
        </w:numPr>
        <w:rPr>
          <w:lang w:val="en-GB"/>
        </w:rPr>
      </w:pPr>
      <w:r w:rsidRPr="00995AAB">
        <w:rPr>
          <w:b/>
          <w:lang w:val="en-GB"/>
        </w:rPr>
        <w:t>The Trading Venue</w:t>
      </w:r>
      <w:r w:rsidRPr="00995AAB">
        <w:rPr>
          <w:lang w:val="en-GB"/>
        </w:rPr>
        <w:t xml:space="preserve"> must generate an RTS 27 report.</w:t>
      </w:r>
    </w:p>
    <w:p w14:paraId="4AF105B5" w14:textId="77777777" w:rsidR="00FF5C88" w:rsidRPr="00995AAB" w:rsidRDefault="00FF5C88" w:rsidP="00FF5C88">
      <w:pPr>
        <w:pStyle w:val="ListParagraph"/>
        <w:rPr>
          <w:lang w:val="en-GB"/>
        </w:rPr>
      </w:pPr>
    </w:p>
    <w:p w14:paraId="7EB727E4" w14:textId="77777777" w:rsidR="00542077" w:rsidRPr="00995AAB" w:rsidRDefault="00542077" w:rsidP="00DB5387">
      <w:pPr>
        <w:rPr>
          <w:lang w:val="en-GB"/>
        </w:rPr>
      </w:pPr>
    </w:p>
    <w:p w14:paraId="53824612" w14:textId="77777777" w:rsidR="00542077" w:rsidRDefault="0055593A" w:rsidP="00DB5387">
      <w:pPr>
        <w:rPr>
          <w:lang w:val="en-GB"/>
        </w:rPr>
      </w:pPr>
      <w:r>
        <w:rPr>
          <w:noProof/>
        </w:rPr>
        <w:drawing>
          <wp:inline distT="0" distB="0" distL="0" distR="0" wp14:anchorId="69CFAEC4" wp14:editId="5F7097CD">
            <wp:extent cx="5943600" cy="11201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e 5.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120140"/>
                    </a:xfrm>
                    <a:prstGeom prst="rect">
                      <a:avLst/>
                    </a:prstGeom>
                  </pic:spPr>
                </pic:pic>
              </a:graphicData>
            </a:graphic>
          </wp:inline>
        </w:drawing>
      </w:r>
    </w:p>
    <w:p w14:paraId="3223B362" w14:textId="77777777" w:rsidR="00C21565" w:rsidRPr="00995AAB" w:rsidRDefault="00C21565" w:rsidP="00DB5387">
      <w:pPr>
        <w:rPr>
          <w:lang w:val="en-GB"/>
        </w:rPr>
      </w:pPr>
    </w:p>
    <w:p w14:paraId="47C6FE46" w14:textId="11319482" w:rsidR="005329FB" w:rsidRPr="00995AAB" w:rsidRDefault="001C60EE" w:rsidP="00995AAB">
      <w:pPr>
        <w:pStyle w:val="Caption"/>
        <w:rPr>
          <w:lang w:val="en-GB"/>
        </w:rPr>
      </w:pPr>
      <w:bookmarkStart w:id="25" w:name="_Ref469379132"/>
      <w:r w:rsidRPr="00995AAB">
        <w:rPr>
          <w:lang w:val="en-GB"/>
        </w:rPr>
        <w:t xml:space="preserve">Figure </w:t>
      </w:r>
      <w:r w:rsidR="007018C6" w:rsidRPr="00995AAB">
        <w:rPr>
          <w:lang w:val="en-GB"/>
        </w:rPr>
        <w:fldChar w:fldCharType="begin"/>
      </w:r>
      <w:r w:rsidRPr="00995AAB">
        <w:rPr>
          <w:lang w:val="en-GB"/>
        </w:rPr>
        <w:instrText xml:space="preserve"> SEQ Figure \* ARABIC </w:instrText>
      </w:r>
      <w:r w:rsidR="007018C6" w:rsidRPr="00995AAB">
        <w:rPr>
          <w:lang w:val="en-GB"/>
        </w:rPr>
        <w:fldChar w:fldCharType="separate"/>
      </w:r>
      <w:r w:rsidR="00F64722">
        <w:rPr>
          <w:noProof/>
          <w:lang w:val="en-GB"/>
        </w:rPr>
        <w:t>8</w:t>
      </w:r>
      <w:r w:rsidR="007018C6" w:rsidRPr="00995AAB">
        <w:rPr>
          <w:lang w:val="en-GB"/>
        </w:rPr>
        <w:fldChar w:fldCharType="end"/>
      </w:r>
      <w:bookmarkEnd w:id="25"/>
      <w:r w:rsidRPr="00995AAB">
        <w:rPr>
          <w:lang w:val="en-GB"/>
        </w:rPr>
        <w:t>: Bond Scenario – Buy-side leaves order with Sell-Side. Sell-side places client order on Trading Venue.</w:t>
      </w:r>
    </w:p>
    <w:p w14:paraId="3815A630" w14:textId="1A3AFF14" w:rsidR="0063666E" w:rsidRDefault="0063666E" w:rsidP="0063666E">
      <w:pPr>
        <w:rPr>
          <w:lang w:val="en-GB"/>
        </w:rPr>
      </w:pPr>
      <w:r w:rsidRPr="00995AAB">
        <w:rPr>
          <w:lang w:val="en-GB"/>
        </w:rPr>
        <w:t xml:space="preserve">The second bond scenario in </w:t>
      </w:r>
      <w:r w:rsidR="007018C6" w:rsidRPr="00995AAB">
        <w:rPr>
          <w:lang w:val="en-GB"/>
        </w:rPr>
        <w:fldChar w:fldCharType="begin"/>
      </w:r>
      <w:r w:rsidRPr="00995AAB">
        <w:rPr>
          <w:lang w:val="en-GB"/>
        </w:rPr>
        <w:instrText xml:space="preserve"> REF _Ref469379132 \h </w:instrText>
      </w:r>
      <w:r w:rsidR="007018C6" w:rsidRPr="00995AAB">
        <w:rPr>
          <w:lang w:val="en-GB"/>
        </w:rPr>
      </w:r>
      <w:r w:rsidR="007018C6" w:rsidRPr="00995AAB">
        <w:rPr>
          <w:lang w:val="en-GB"/>
        </w:rPr>
        <w:fldChar w:fldCharType="separate"/>
      </w:r>
      <w:r w:rsidR="00F64722" w:rsidRPr="00995AAB">
        <w:rPr>
          <w:lang w:val="en-GB"/>
        </w:rPr>
        <w:t xml:space="preserve">Figure </w:t>
      </w:r>
      <w:r w:rsidR="00F64722">
        <w:rPr>
          <w:noProof/>
          <w:lang w:val="en-GB"/>
        </w:rPr>
        <w:t>8</w:t>
      </w:r>
      <w:r w:rsidR="007018C6" w:rsidRPr="00995AAB">
        <w:rPr>
          <w:lang w:val="en-GB"/>
        </w:rPr>
        <w:fldChar w:fldCharType="end"/>
      </w:r>
      <w:r w:rsidRPr="00995AAB">
        <w:rPr>
          <w:lang w:val="en-GB"/>
        </w:rPr>
        <w:t>, represents the situation where the Buy-Side firm uses a Sell-Side firm to get access to liquidity either on a Regulated Market (RM) or Multilateral Trading Facility (MTF)</w:t>
      </w:r>
      <w:r w:rsidR="00CD62D8">
        <w:rPr>
          <w:lang w:val="en-GB"/>
        </w:rPr>
        <w:t xml:space="preserve"> or Organised Trading Facility (OTF)</w:t>
      </w:r>
      <w:r w:rsidRPr="00995AAB">
        <w:rPr>
          <w:lang w:val="en-GB"/>
        </w:rPr>
        <w:t xml:space="preserve">. The Sell-Side firm is not willing to take a position and acts purely as an agent: it takes the client order and places it on the RM/MTF on their behalf. </w:t>
      </w:r>
      <w:r w:rsidR="00CD62D8">
        <w:rPr>
          <w:lang w:val="en-GB"/>
        </w:rPr>
        <w:t>This scenario would be similar irrespective of whether DEA is provided or not.</w:t>
      </w:r>
    </w:p>
    <w:p w14:paraId="64585374" w14:textId="77777777" w:rsidR="00CD62D8" w:rsidRPr="00995AAB" w:rsidRDefault="00CD62D8" w:rsidP="0063666E">
      <w:pPr>
        <w:rPr>
          <w:lang w:val="en-GB"/>
        </w:rPr>
      </w:pPr>
    </w:p>
    <w:p w14:paraId="3195425A" w14:textId="77777777" w:rsidR="00CA7180" w:rsidRPr="00C671AE" w:rsidRDefault="00CA7180" w:rsidP="00A9410B">
      <w:pPr>
        <w:pStyle w:val="ListParagraph"/>
        <w:numPr>
          <w:ilvl w:val="0"/>
          <w:numId w:val="9"/>
        </w:numPr>
        <w:rPr>
          <w:rFonts w:cs="Arial"/>
          <w:szCs w:val="20"/>
          <w:lang w:val="en-GB"/>
        </w:rPr>
      </w:pPr>
      <w:r w:rsidRPr="00C671AE">
        <w:rPr>
          <w:b/>
          <w:lang w:val="en-GB"/>
        </w:rPr>
        <w:t>The Buy-Side</w:t>
      </w:r>
      <w:r w:rsidRPr="00C671AE">
        <w:rPr>
          <w:lang w:val="en-GB"/>
        </w:rPr>
        <w:t xml:space="preserve"> </w:t>
      </w:r>
      <w:r>
        <w:rPr>
          <w:lang w:val="en-GB"/>
        </w:rPr>
        <w:t>transmitting an order must produce a report</w:t>
      </w:r>
      <w:r w:rsidRPr="00C671AE">
        <w:rPr>
          <w:lang w:val="en-GB"/>
        </w:rPr>
        <w:t xml:space="preserve"> </w:t>
      </w:r>
      <w:r>
        <w:rPr>
          <w:lang w:val="en-GB"/>
        </w:rPr>
        <w:t xml:space="preserve">under Article 65.6 </w:t>
      </w:r>
      <w:r w:rsidRPr="00C671AE">
        <w:rPr>
          <w:lang w:val="en-GB"/>
        </w:rPr>
        <w:t xml:space="preserve">identifying the Sell-Side Firm as one of the Top 5 </w:t>
      </w:r>
      <w:r>
        <w:rPr>
          <w:rFonts w:cs="Arial"/>
          <w:szCs w:val="20"/>
          <w:lang w:val="en-GB"/>
        </w:rPr>
        <w:t>brokers</w:t>
      </w:r>
      <w:r w:rsidRPr="007A2D2F">
        <w:rPr>
          <w:rFonts w:cs="Arial"/>
          <w:szCs w:val="20"/>
          <w:lang w:val="en-GB"/>
        </w:rPr>
        <w:t xml:space="preserve"> in terms of trading volumes where it transmitted orders to </w:t>
      </w:r>
      <w:r>
        <w:rPr>
          <w:rFonts w:cs="Arial"/>
          <w:szCs w:val="20"/>
          <w:lang w:val="en-GB"/>
        </w:rPr>
        <w:t xml:space="preserve">(if it qualifies) </w:t>
      </w:r>
      <w:r w:rsidRPr="007A2D2F">
        <w:rPr>
          <w:rFonts w:cs="Arial"/>
          <w:szCs w:val="20"/>
          <w:lang w:val="en-GB"/>
        </w:rPr>
        <w:t>and this should be consistent with the information published under RTS 28</w:t>
      </w:r>
    </w:p>
    <w:p w14:paraId="582DA7F9" w14:textId="77777777" w:rsidR="00472487" w:rsidRDefault="0063666E" w:rsidP="00A9410B">
      <w:pPr>
        <w:pStyle w:val="ListParagraph"/>
        <w:numPr>
          <w:ilvl w:val="0"/>
          <w:numId w:val="9"/>
        </w:numPr>
        <w:rPr>
          <w:lang w:val="en-GB"/>
        </w:rPr>
      </w:pPr>
      <w:r w:rsidRPr="00995AAB">
        <w:rPr>
          <w:b/>
          <w:lang w:val="en-GB"/>
        </w:rPr>
        <w:t>The Sell-Side</w:t>
      </w:r>
      <w:r w:rsidRPr="00995AAB">
        <w:rPr>
          <w:lang w:val="en-GB"/>
        </w:rPr>
        <w:t xml:space="preserve"> must generate an RTS 28 report, identifying the Trading Venue as one of the Top 5 Execution Venues (if it qualifies). </w:t>
      </w:r>
    </w:p>
    <w:p w14:paraId="461F320A" w14:textId="213F51BA" w:rsidR="0063666E" w:rsidRPr="00995AAB" w:rsidRDefault="00472487" w:rsidP="00A9410B">
      <w:pPr>
        <w:pStyle w:val="ListParagraph"/>
        <w:numPr>
          <w:ilvl w:val="0"/>
          <w:numId w:val="9"/>
        </w:numPr>
        <w:rPr>
          <w:lang w:val="en-GB"/>
        </w:rPr>
      </w:pPr>
      <w:r>
        <w:rPr>
          <w:b/>
          <w:lang w:val="en-GB"/>
        </w:rPr>
        <w:t xml:space="preserve">The Sell-Side is not obligated to complete an </w:t>
      </w:r>
      <w:r w:rsidR="0063666E" w:rsidRPr="00995AAB">
        <w:rPr>
          <w:lang w:val="en-GB"/>
        </w:rPr>
        <w:t>RTS 27 report as the Sell-Side firm does not hold any position and does not provide any of its own liquidity to the Buy-Side.</w:t>
      </w:r>
    </w:p>
    <w:p w14:paraId="35CF7E14" w14:textId="77777777" w:rsidR="0063666E" w:rsidRPr="00995AAB" w:rsidRDefault="0063666E" w:rsidP="00A9410B">
      <w:pPr>
        <w:pStyle w:val="ListParagraph"/>
        <w:numPr>
          <w:ilvl w:val="0"/>
          <w:numId w:val="9"/>
        </w:numPr>
        <w:rPr>
          <w:lang w:val="en-GB"/>
        </w:rPr>
      </w:pPr>
      <w:r w:rsidRPr="00995AAB">
        <w:rPr>
          <w:b/>
          <w:lang w:val="en-GB"/>
        </w:rPr>
        <w:t>The Trading Venue</w:t>
      </w:r>
      <w:r w:rsidRPr="00995AAB">
        <w:rPr>
          <w:lang w:val="en-GB"/>
        </w:rPr>
        <w:t xml:space="preserve"> must generate an RTS 27 report.</w:t>
      </w:r>
    </w:p>
    <w:p w14:paraId="742493F0" w14:textId="23FDC6A9" w:rsidR="0063666E" w:rsidRPr="00995AAB" w:rsidRDefault="0063666E" w:rsidP="00995AAB">
      <w:pPr>
        <w:rPr>
          <w:lang w:val="en-GB"/>
        </w:rPr>
      </w:pPr>
    </w:p>
    <w:p w14:paraId="3A4C53C0" w14:textId="77777777" w:rsidR="00542077" w:rsidRPr="00995AAB" w:rsidRDefault="00542077" w:rsidP="00DB5387">
      <w:pPr>
        <w:rPr>
          <w:lang w:val="en-GB"/>
        </w:rPr>
      </w:pPr>
    </w:p>
    <w:p w14:paraId="17D5D687" w14:textId="495D76E4" w:rsidR="00C21565" w:rsidRDefault="004037FA" w:rsidP="00DB5387">
      <w:pPr>
        <w:rPr>
          <w:lang w:val="en-GB"/>
        </w:rPr>
      </w:pPr>
      <w:r>
        <w:rPr>
          <w:noProof/>
        </w:rPr>
        <w:lastRenderedPageBreak/>
        <w:drawing>
          <wp:inline distT="0" distB="0" distL="0" distR="0" wp14:anchorId="7D7C8450" wp14:editId="2CECE008">
            <wp:extent cx="5943600" cy="11099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 Shot 2017-02-26 at 13.04.1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1109980"/>
                    </a:xfrm>
                    <a:prstGeom prst="rect">
                      <a:avLst/>
                    </a:prstGeom>
                  </pic:spPr>
                </pic:pic>
              </a:graphicData>
            </a:graphic>
          </wp:inline>
        </w:drawing>
      </w:r>
    </w:p>
    <w:p w14:paraId="330AA0C9" w14:textId="77777777" w:rsidR="004037FA" w:rsidRPr="00995AAB" w:rsidRDefault="004037FA" w:rsidP="00DB5387">
      <w:pPr>
        <w:rPr>
          <w:lang w:val="en-GB"/>
        </w:rPr>
      </w:pPr>
    </w:p>
    <w:p w14:paraId="39C720A7" w14:textId="3D267E8D" w:rsidR="00542077" w:rsidRPr="00995AAB" w:rsidRDefault="001C60EE" w:rsidP="00995AAB">
      <w:pPr>
        <w:pStyle w:val="Caption"/>
        <w:rPr>
          <w:lang w:val="en-GB"/>
        </w:rPr>
      </w:pPr>
      <w:bookmarkStart w:id="26" w:name="_Ref469379386"/>
      <w:r w:rsidRPr="00B922D9">
        <w:rPr>
          <w:lang w:val="en-GB"/>
        </w:rPr>
        <w:t xml:space="preserve">Figure </w:t>
      </w:r>
      <w:r w:rsidR="007018C6" w:rsidRPr="00B922D9">
        <w:rPr>
          <w:lang w:val="en-GB"/>
        </w:rPr>
        <w:fldChar w:fldCharType="begin"/>
      </w:r>
      <w:r w:rsidRPr="00B922D9">
        <w:rPr>
          <w:lang w:val="en-GB"/>
        </w:rPr>
        <w:instrText xml:space="preserve"> SEQ Figure \* ARABIC </w:instrText>
      </w:r>
      <w:r w:rsidR="007018C6" w:rsidRPr="00B922D9">
        <w:rPr>
          <w:lang w:val="en-GB"/>
        </w:rPr>
        <w:fldChar w:fldCharType="separate"/>
      </w:r>
      <w:r w:rsidR="00F64722">
        <w:rPr>
          <w:noProof/>
          <w:lang w:val="en-GB"/>
        </w:rPr>
        <w:t>9</w:t>
      </w:r>
      <w:r w:rsidR="007018C6" w:rsidRPr="00B922D9">
        <w:rPr>
          <w:lang w:val="en-GB"/>
        </w:rPr>
        <w:fldChar w:fldCharType="end"/>
      </w:r>
      <w:bookmarkEnd w:id="26"/>
      <w:r w:rsidRPr="00B922D9">
        <w:rPr>
          <w:lang w:val="en-GB"/>
        </w:rPr>
        <w:t>: Bond Scenario – Buy-Side RFQ with Sell-Side 1. Sell-Side 1 firm finds liquidity at Sell-Side 2: Principal</w:t>
      </w:r>
    </w:p>
    <w:p w14:paraId="273C7425" w14:textId="305229F9" w:rsidR="0063666E" w:rsidRPr="00995AAB" w:rsidRDefault="0063666E" w:rsidP="0063666E">
      <w:pPr>
        <w:rPr>
          <w:lang w:val="en-GB"/>
        </w:rPr>
      </w:pPr>
      <w:r w:rsidRPr="00995AAB">
        <w:rPr>
          <w:lang w:val="en-GB"/>
        </w:rPr>
        <w:t xml:space="preserve">The third bond scenario in </w:t>
      </w:r>
      <w:r w:rsidR="007018C6" w:rsidRPr="00995AAB">
        <w:rPr>
          <w:lang w:val="en-GB"/>
        </w:rPr>
        <w:fldChar w:fldCharType="begin"/>
      </w:r>
      <w:r w:rsidRPr="00995AAB">
        <w:rPr>
          <w:lang w:val="en-GB"/>
        </w:rPr>
        <w:instrText xml:space="preserve"> REF _Ref469379386 \h </w:instrText>
      </w:r>
      <w:r w:rsidR="007018C6" w:rsidRPr="00995AAB">
        <w:rPr>
          <w:lang w:val="en-GB"/>
        </w:rPr>
      </w:r>
      <w:r w:rsidR="007018C6" w:rsidRPr="00995AAB">
        <w:rPr>
          <w:lang w:val="en-GB"/>
        </w:rPr>
        <w:fldChar w:fldCharType="separate"/>
      </w:r>
      <w:r w:rsidR="00F64722" w:rsidRPr="00B922D9">
        <w:rPr>
          <w:lang w:val="en-GB"/>
        </w:rPr>
        <w:t xml:space="preserve">Figure </w:t>
      </w:r>
      <w:r w:rsidR="00F64722">
        <w:rPr>
          <w:noProof/>
          <w:lang w:val="en-GB"/>
        </w:rPr>
        <w:t>9</w:t>
      </w:r>
      <w:r w:rsidR="007018C6" w:rsidRPr="00995AAB">
        <w:rPr>
          <w:lang w:val="en-GB"/>
        </w:rPr>
        <w:fldChar w:fldCharType="end"/>
      </w:r>
      <w:r w:rsidRPr="00995AAB">
        <w:rPr>
          <w:lang w:val="en-GB"/>
        </w:rPr>
        <w:t xml:space="preserve"> represents the situation where the Buy-Side firm uses a Sell-Side firm to get access to liquidity, but Sell-Side 1 does not hold a position in the security and must go out to another bank to find liquidity.</w:t>
      </w:r>
    </w:p>
    <w:p w14:paraId="5540823C" w14:textId="77777777" w:rsidR="0063666E" w:rsidRPr="00995AAB" w:rsidRDefault="0063666E" w:rsidP="0063666E">
      <w:pPr>
        <w:rPr>
          <w:lang w:val="en-GB"/>
        </w:rPr>
      </w:pPr>
      <w:r w:rsidRPr="00995AAB">
        <w:rPr>
          <w:lang w:val="en-GB"/>
        </w:rPr>
        <w:t>Sell-Side 1 requests Sell-Side 2 for a quote and, on receiving the quote</w:t>
      </w:r>
      <w:r w:rsidR="00591FD5" w:rsidRPr="00995AAB">
        <w:rPr>
          <w:lang w:val="en-GB"/>
        </w:rPr>
        <w:t>, adds an additional spread before providing a quote back to the Buy-Side. When the Buy-Side executes the trade with Sell-Side 1, Sell-Side 1 does a back-to-back trade with Sell Side 2</w:t>
      </w:r>
      <w:r w:rsidR="0010123E" w:rsidRPr="00995AAB">
        <w:rPr>
          <w:lang w:val="en-GB"/>
        </w:rPr>
        <w:t>, acting as principal</w:t>
      </w:r>
      <w:r w:rsidRPr="00995AAB">
        <w:rPr>
          <w:lang w:val="en-GB"/>
        </w:rPr>
        <w:t xml:space="preserve">. </w:t>
      </w:r>
    </w:p>
    <w:p w14:paraId="26D12CFD" w14:textId="77777777" w:rsidR="00591FD5" w:rsidRPr="00995AAB" w:rsidRDefault="00B25785" w:rsidP="00A9410B">
      <w:pPr>
        <w:pStyle w:val="ListParagraph"/>
        <w:numPr>
          <w:ilvl w:val="0"/>
          <w:numId w:val="9"/>
        </w:numPr>
        <w:rPr>
          <w:rFonts w:cs="Arial"/>
          <w:szCs w:val="20"/>
          <w:lang w:val="en-GB"/>
        </w:rPr>
      </w:pPr>
      <w:r w:rsidRPr="00C671AE">
        <w:rPr>
          <w:b/>
          <w:lang w:val="en-GB"/>
        </w:rPr>
        <w:t>The Buy-Side</w:t>
      </w:r>
      <w:r w:rsidRPr="00C671AE">
        <w:rPr>
          <w:lang w:val="en-GB"/>
        </w:rPr>
        <w:t xml:space="preserve"> </w:t>
      </w:r>
      <w:r w:rsidR="004037FA">
        <w:rPr>
          <w:lang w:val="en-GB"/>
        </w:rPr>
        <w:t>sending</w:t>
      </w:r>
      <w:r>
        <w:rPr>
          <w:lang w:val="en-GB"/>
        </w:rPr>
        <w:t xml:space="preserve"> an order must produce a report under </w:t>
      </w:r>
      <w:r w:rsidR="004037FA">
        <w:rPr>
          <w:lang w:val="en-GB"/>
        </w:rPr>
        <w:t>RTS 28</w:t>
      </w:r>
      <w:r w:rsidR="0026561B">
        <w:rPr>
          <w:lang w:val="en-GB"/>
        </w:rPr>
        <w:t>,</w:t>
      </w:r>
      <w:r w:rsidRPr="00C671AE">
        <w:rPr>
          <w:lang w:val="en-GB"/>
        </w:rPr>
        <w:t xml:space="preserve"> identifying the Sell-Side </w:t>
      </w:r>
      <w:r w:rsidR="0008205A">
        <w:rPr>
          <w:lang w:val="en-GB"/>
        </w:rPr>
        <w:t xml:space="preserve">1  </w:t>
      </w:r>
      <w:r w:rsidRPr="00C671AE">
        <w:rPr>
          <w:lang w:val="en-GB"/>
        </w:rPr>
        <w:t>as one of the Top 5</w:t>
      </w:r>
      <w:r w:rsidR="004037FA">
        <w:rPr>
          <w:rFonts w:cs="Arial"/>
          <w:szCs w:val="20"/>
          <w:lang w:val="en-GB"/>
        </w:rPr>
        <w:t xml:space="preserve"> Execution Venues</w:t>
      </w:r>
      <w:r w:rsidRPr="007A2D2F">
        <w:rPr>
          <w:rFonts w:cs="Arial"/>
          <w:szCs w:val="20"/>
          <w:lang w:val="en-GB"/>
        </w:rPr>
        <w:t xml:space="preserve"> in terms of trading volumes</w:t>
      </w:r>
      <w:r w:rsidR="004037FA">
        <w:rPr>
          <w:rFonts w:cs="Arial"/>
          <w:szCs w:val="20"/>
          <w:lang w:val="en-GB"/>
        </w:rPr>
        <w:t>. The Buy-Side firm may not even know that the order has been sent on to another bank.</w:t>
      </w:r>
      <w:r w:rsidRPr="007A2D2F">
        <w:rPr>
          <w:rFonts w:cs="Arial"/>
          <w:szCs w:val="20"/>
          <w:lang w:val="en-GB"/>
        </w:rPr>
        <w:t xml:space="preserve"> </w:t>
      </w:r>
    </w:p>
    <w:p w14:paraId="41B79CAF" w14:textId="392B4362" w:rsidR="000C6816" w:rsidRPr="00D36038" w:rsidRDefault="000C6816" w:rsidP="00A9410B">
      <w:pPr>
        <w:pStyle w:val="ListParagraph"/>
        <w:numPr>
          <w:ilvl w:val="0"/>
          <w:numId w:val="9"/>
        </w:numPr>
        <w:rPr>
          <w:lang w:val="en-GB"/>
        </w:rPr>
      </w:pPr>
      <w:r w:rsidRPr="00D36038">
        <w:rPr>
          <w:b/>
          <w:lang w:val="en-GB"/>
        </w:rPr>
        <w:t xml:space="preserve">Sell-Side </w:t>
      </w:r>
      <w:r>
        <w:rPr>
          <w:b/>
          <w:lang w:val="en-GB"/>
        </w:rPr>
        <w:t xml:space="preserve">1 </w:t>
      </w:r>
      <w:r w:rsidRPr="00D36038">
        <w:rPr>
          <w:lang w:val="en-GB"/>
        </w:rPr>
        <w:t xml:space="preserve">must generate an RTS 28 report, identifying </w:t>
      </w:r>
      <w:r w:rsidR="00B90F91">
        <w:rPr>
          <w:b/>
          <w:lang w:val="en-GB"/>
        </w:rPr>
        <w:t>itself</w:t>
      </w:r>
      <w:r>
        <w:rPr>
          <w:lang w:val="en-GB"/>
        </w:rPr>
        <w:t xml:space="preserve"> </w:t>
      </w:r>
      <w:r w:rsidRPr="00D36038">
        <w:rPr>
          <w:lang w:val="en-GB"/>
        </w:rPr>
        <w:t>as one</w:t>
      </w:r>
      <w:r w:rsidR="004C422C">
        <w:rPr>
          <w:lang w:val="en-GB"/>
        </w:rPr>
        <w:t xml:space="preserve"> of its</w:t>
      </w:r>
      <w:r w:rsidRPr="00D36038">
        <w:rPr>
          <w:lang w:val="en-GB"/>
        </w:rPr>
        <w:t xml:space="preserve"> Top 5 Execution Venues</w:t>
      </w:r>
      <w:r w:rsidR="004C422C">
        <w:rPr>
          <w:lang w:val="en-GB"/>
        </w:rPr>
        <w:t xml:space="preserve"> </w:t>
      </w:r>
      <w:r w:rsidR="0020047D">
        <w:rPr>
          <w:lang w:val="en-GB"/>
        </w:rPr>
        <w:t>(</w:t>
      </w:r>
      <w:r w:rsidR="004C422C">
        <w:rPr>
          <w:lang w:val="en-GB"/>
        </w:rPr>
        <w:t>if it qualifies</w:t>
      </w:r>
      <w:r w:rsidR="0020047D">
        <w:rPr>
          <w:lang w:val="en-GB"/>
        </w:rPr>
        <w:t>)</w:t>
      </w:r>
      <w:r w:rsidR="00711813">
        <w:rPr>
          <w:lang w:val="en-GB"/>
        </w:rPr>
        <w:t>.</w:t>
      </w:r>
    </w:p>
    <w:p w14:paraId="3C02B6F2" w14:textId="3D53C92D" w:rsidR="006E1A2E" w:rsidRDefault="006E1A2E" w:rsidP="006E1A2E">
      <w:pPr>
        <w:pStyle w:val="ListParagraph"/>
        <w:numPr>
          <w:ilvl w:val="0"/>
          <w:numId w:val="9"/>
        </w:numPr>
        <w:rPr>
          <w:lang w:val="en-GB"/>
        </w:rPr>
      </w:pPr>
      <w:r>
        <w:rPr>
          <w:lang w:val="en-GB"/>
        </w:rPr>
        <w:t xml:space="preserve">As </w:t>
      </w:r>
      <w:r w:rsidRPr="00995AAB">
        <w:rPr>
          <w:b/>
          <w:lang w:val="en-GB"/>
        </w:rPr>
        <w:t xml:space="preserve">Sell-Side </w:t>
      </w:r>
      <w:r>
        <w:rPr>
          <w:b/>
          <w:lang w:val="en-GB"/>
        </w:rPr>
        <w:t>1</w:t>
      </w:r>
      <w:r w:rsidRPr="00995AAB">
        <w:rPr>
          <w:lang w:val="en-GB"/>
        </w:rPr>
        <w:t xml:space="preserve"> is providing liquidity</w:t>
      </w:r>
      <w:r w:rsidR="00B90F91">
        <w:rPr>
          <w:lang w:val="en-GB"/>
        </w:rPr>
        <w:t xml:space="preserve"> to the buy-side, Sell Side 1</w:t>
      </w:r>
      <w:r w:rsidRPr="00995AAB">
        <w:rPr>
          <w:lang w:val="en-GB"/>
        </w:rPr>
        <w:t xml:space="preserve"> must produce an RTS 27 </w:t>
      </w:r>
      <w:r>
        <w:rPr>
          <w:lang w:val="en-GB"/>
        </w:rPr>
        <w:t xml:space="preserve">report. </w:t>
      </w:r>
    </w:p>
    <w:p w14:paraId="391F022E" w14:textId="08B04158" w:rsidR="001C4D5A" w:rsidRPr="007F74CB" w:rsidRDefault="006E1A2E" w:rsidP="00B922D9">
      <w:pPr>
        <w:pStyle w:val="ListParagraph"/>
        <w:numPr>
          <w:ilvl w:val="0"/>
          <w:numId w:val="9"/>
        </w:numPr>
        <w:rPr>
          <w:lang w:val="en-GB"/>
        </w:rPr>
      </w:pPr>
      <w:r>
        <w:rPr>
          <w:lang w:val="en-GB"/>
        </w:rPr>
        <w:t xml:space="preserve">As </w:t>
      </w:r>
      <w:r w:rsidRPr="00995AAB">
        <w:rPr>
          <w:b/>
          <w:lang w:val="en-GB"/>
        </w:rPr>
        <w:t xml:space="preserve">Sell-Side </w:t>
      </w:r>
      <w:r w:rsidR="00B90F91">
        <w:rPr>
          <w:b/>
          <w:lang w:val="en-GB"/>
        </w:rPr>
        <w:t>1</w:t>
      </w:r>
      <w:r w:rsidRPr="00995AAB">
        <w:rPr>
          <w:lang w:val="en-GB"/>
        </w:rPr>
        <w:t xml:space="preserve"> is </w:t>
      </w:r>
      <w:r w:rsidR="00B90F91">
        <w:rPr>
          <w:lang w:val="en-GB"/>
        </w:rPr>
        <w:t xml:space="preserve">considered an eligible counterparty there is no obligation for </w:t>
      </w:r>
      <w:r w:rsidR="00B90F91" w:rsidRPr="00B90F91">
        <w:rPr>
          <w:b/>
          <w:lang w:val="en-GB"/>
        </w:rPr>
        <w:t xml:space="preserve">Sell-Side 2 </w:t>
      </w:r>
      <w:r w:rsidR="00B90F91">
        <w:rPr>
          <w:lang w:val="en-GB"/>
        </w:rPr>
        <w:t xml:space="preserve">to </w:t>
      </w:r>
      <w:r w:rsidR="001C4D5A">
        <w:rPr>
          <w:lang w:val="en-GB"/>
        </w:rPr>
        <w:t>include this data in its</w:t>
      </w:r>
      <w:r w:rsidR="00B90F91">
        <w:rPr>
          <w:lang w:val="en-GB"/>
        </w:rPr>
        <w:t xml:space="preserve"> RTS </w:t>
      </w:r>
      <w:r w:rsidR="001C4D5A">
        <w:rPr>
          <w:lang w:val="en-GB"/>
        </w:rPr>
        <w:t xml:space="preserve">28 report, however Sell-Side 2 must provide an RTS 27 rerport </w:t>
      </w:r>
    </w:p>
    <w:p w14:paraId="75A37985" w14:textId="40463DFD" w:rsidR="001C4D5A" w:rsidRPr="001C4D5A" w:rsidRDefault="001C4D5A" w:rsidP="001C4D5A">
      <w:pPr>
        <w:pStyle w:val="ListParagraph"/>
        <w:numPr>
          <w:ilvl w:val="0"/>
          <w:numId w:val="9"/>
        </w:numPr>
        <w:rPr>
          <w:lang w:val="en-GB"/>
        </w:rPr>
      </w:pPr>
      <w:r>
        <w:rPr>
          <w:lang w:val="en-GB"/>
        </w:rPr>
        <w:t xml:space="preserve">The above example is caveated by the fact that the industry is waiting for clarity on whether a sell-side firm offering liquidity off its own book would be obligated to complete an RTS 28 report identifying itself as one of its Top 5 execution venue (if it qualifies)  </w:t>
      </w:r>
      <w:r w:rsidR="003011B1">
        <w:rPr>
          <w:lang w:val="en-GB"/>
        </w:rPr>
        <w:t>This will be updated once further guidance has been received from ESMA.</w:t>
      </w:r>
    </w:p>
    <w:p w14:paraId="304F5B75" w14:textId="77777777" w:rsidR="0063666E" w:rsidRPr="00995AAB" w:rsidRDefault="0063666E" w:rsidP="0063666E">
      <w:pPr>
        <w:rPr>
          <w:lang w:val="en-GB"/>
        </w:rPr>
      </w:pPr>
    </w:p>
    <w:p w14:paraId="6F7461C1" w14:textId="77777777" w:rsidR="00175E9E" w:rsidRPr="00995AAB" w:rsidRDefault="00175E9E" w:rsidP="0063666E">
      <w:pPr>
        <w:rPr>
          <w:lang w:val="en-GB"/>
        </w:rPr>
      </w:pPr>
    </w:p>
    <w:p w14:paraId="5ED7298A" w14:textId="77777777" w:rsidR="00542077" w:rsidRDefault="00D60051" w:rsidP="0063666E">
      <w:pPr>
        <w:rPr>
          <w:lang w:val="en-GB"/>
        </w:rPr>
      </w:pPr>
      <w:r>
        <w:rPr>
          <w:noProof/>
        </w:rPr>
        <w:drawing>
          <wp:inline distT="0" distB="0" distL="0" distR="0" wp14:anchorId="165B6D33" wp14:editId="4C78EC48">
            <wp:extent cx="5943600" cy="11042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ure 7.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1104265"/>
                    </a:xfrm>
                    <a:prstGeom prst="rect">
                      <a:avLst/>
                    </a:prstGeom>
                  </pic:spPr>
                </pic:pic>
              </a:graphicData>
            </a:graphic>
          </wp:inline>
        </w:drawing>
      </w:r>
    </w:p>
    <w:p w14:paraId="21A6D43F" w14:textId="77777777" w:rsidR="00C21565" w:rsidRPr="00995AAB" w:rsidRDefault="00C21565" w:rsidP="0063666E">
      <w:pPr>
        <w:rPr>
          <w:lang w:val="en-GB"/>
        </w:rPr>
      </w:pPr>
    </w:p>
    <w:p w14:paraId="7F6179DB" w14:textId="409C232A" w:rsidR="00542077" w:rsidRPr="00995AAB" w:rsidRDefault="001C60EE" w:rsidP="00995AAB">
      <w:pPr>
        <w:pStyle w:val="Caption"/>
        <w:rPr>
          <w:lang w:val="en-GB"/>
        </w:rPr>
      </w:pPr>
      <w:bookmarkStart w:id="27" w:name="_Ref469380011"/>
      <w:r w:rsidRPr="00995AAB">
        <w:rPr>
          <w:lang w:val="en-GB"/>
        </w:rPr>
        <w:t xml:space="preserve">Figure </w:t>
      </w:r>
      <w:r w:rsidR="007018C6" w:rsidRPr="00995AAB">
        <w:rPr>
          <w:lang w:val="en-GB"/>
        </w:rPr>
        <w:fldChar w:fldCharType="begin"/>
      </w:r>
      <w:r w:rsidRPr="00995AAB">
        <w:rPr>
          <w:lang w:val="en-GB"/>
        </w:rPr>
        <w:instrText xml:space="preserve"> SEQ Figure \* ARABIC </w:instrText>
      </w:r>
      <w:r w:rsidR="007018C6" w:rsidRPr="00995AAB">
        <w:rPr>
          <w:lang w:val="en-GB"/>
        </w:rPr>
        <w:fldChar w:fldCharType="separate"/>
      </w:r>
      <w:r w:rsidR="00F64722">
        <w:rPr>
          <w:noProof/>
          <w:lang w:val="en-GB"/>
        </w:rPr>
        <w:t>10</w:t>
      </w:r>
      <w:r w:rsidR="007018C6" w:rsidRPr="00995AAB">
        <w:rPr>
          <w:lang w:val="en-GB"/>
        </w:rPr>
        <w:fldChar w:fldCharType="end"/>
      </w:r>
      <w:bookmarkEnd w:id="27"/>
      <w:r w:rsidRPr="00995AAB">
        <w:rPr>
          <w:lang w:val="en-GB"/>
        </w:rPr>
        <w:t>: Bond Scenario – Buy-Side RFQ with Sell-Side 1. Sell-Side 1 firm finds liquidity at Sell-Side 2: Matched Principal</w:t>
      </w:r>
    </w:p>
    <w:p w14:paraId="24BD8715" w14:textId="3F88F86E" w:rsidR="00F425F4" w:rsidRDefault="00F425F4" w:rsidP="00F425F4">
      <w:pPr>
        <w:rPr>
          <w:lang w:val="en-GB"/>
        </w:rPr>
      </w:pPr>
      <w:r w:rsidRPr="00995AAB">
        <w:rPr>
          <w:lang w:val="en-GB"/>
        </w:rPr>
        <w:t>The fo</w:t>
      </w:r>
      <w:r w:rsidR="008B6F67">
        <w:rPr>
          <w:lang w:val="en-GB"/>
        </w:rPr>
        <w:t>u</w:t>
      </w:r>
      <w:r w:rsidRPr="00995AAB">
        <w:rPr>
          <w:lang w:val="en-GB"/>
        </w:rPr>
        <w:t xml:space="preserve">rth bond scenario in </w:t>
      </w:r>
      <w:r w:rsidR="007018C6" w:rsidRPr="00995AAB">
        <w:rPr>
          <w:lang w:val="en-GB"/>
        </w:rPr>
        <w:fldChar w:fldCharType="begin"/>
      </w:r>
      <w:r w:rsidRPr="00995AAB">
        <w:rPr>
          <w:lang w:val="en-GB"/>
        </w:rPr>
        <w:instrText xml:space="preserve"> REF _Ref469380011 \h </w:instrText>
      </w:r>
      <w:r w:rsidR="007018C6" w:rsidRPr="00995AAB">
        <w:rPr>
          <w:lang w:val="en-GB"/>
        </w:rPr>
      </w:r>
      <w:r w:rsidR="007018C6" w:rsidRPr="00995AAB">
        <w:rPr>
          <w:lang w:val="en-GB"/>
        </w:rPr>
        <w:fldChar w:fldCharType="separate"/>
      </w:r>
      <w:r w:rsidR="00F64722" w:rsidRPr="00995AAB">
        <w:rPr>
          <w:lang w:val="en-GB"/>
        </w:rPr>
        <w:t xml:space="preserve">Figure </w:t>
      </w:r>
      <w:r w:rsidR="00F64722">
        <w:rPr>
          <w:noProof/>
          <w:lang w:val="en-GB"/>
        </w:rPr>
        <w:t>10</w:t>
      </w:r>
      <w:r w:rsidR="007018C6" w:rsidRPr="00995AAB">
        <w:rPr>
          <w:lang w:val="en-GB"/>
        </w:rPr>
        <w:fldChar w:fldCharType="end"/>
      </w:r>
      <w:r w:rsidRPr="00995AAB">
        <w:rPr>
          <w:lang w:val="en-GB"/>
        </w:rPr>
        <w:t xml:space="preserve"> is similar to the previous scenari</w:t>
      </w:r>
      <w:r w:rsidR="008B6F67">
        <w:rPr>
          <w:lang w:val="en-GB"/>
        </w:rPr>
        <w:t xml:space="preserve">o, it </w:t>
      </w:r>
      <w:r w:rsidRPr="00995AAB">
        <w:rPr>
          <w:lang w:val="en-GB"/>
        </w:rPr>
        <w:t>represents the situation where the Buy-Side firm uses a Sell-Side firm to get access to liquidity, but Sell-Side 1 does not hold a position in the security and must go out to another bank to find liquidity.</w:t>
      </w:r>
      <w:r w:rsidR="009F54D7" w:rsidRPr="00995AAB">
        <w:rPr>
          <w:lang w:val="en-GB"/>
        </w:rPr>
        <w:t xml:space="preserve">This time when </w:t>
      </w:r>
      <w:r w:rsidRPr="00995AAB">
        <w:rPr>
          <w:lang w:val="en-GB"/>
        </w:rPr>
        <w:t>Sell-Side 1 requests Sell-Side 2 for a quote</w:t>
      </w:r>
      <w:r w:rsidR="009F54D7" w:rsidRPr="00995AAB">
        <w:rPr>
          <w:lang w:val="en-GB"/>
        </w:rPr>
        <w:t>, the quote is passed straight through to the Buy-Side unaltered</w:t>
      </w:r>
      <w:r w:rsidRPr="00995AAB">
        <w:rPr>
          <w:lang w:val="en-GB"/>
        </w:rPr>
        <w:t xml:space="preserve">. When the Buy-Side executes the trade with Sell-Side 1, </w:t>
      </w:r>
      <w:r w:rsidR="009F54D7" w:rsidRPr="00995AAB">
        <w:rPr>
          <w:lang w:val="en-GB"/>
        </w:rPr>
        <w:t xml:space="preserve">it is effectively matching the </w:t>
      </w:r>
      <w:r w:rsidRPr="00995AAB">
        <w:rPr>
          <w:lang w:val="en-GB"/>
        </w:rPr>
        <w:t>trade with Sell Side 2</w:t>
      </w:r>
      <w:r w:rsidR="009F54D7" w:rsidRPr="00995AAB">
        <w:rPr>
          <w:lang w:val="en-GB"/>
        </w:rPr>
        <w:t>: Matched Principal. Only a pre-arranged commission is charged.</w:t>
      </w:r>
    </w:p>
    <w:p w14:paraId="15F3FC3C" w14:textId="77777777" w:rsidR="008B6F67" w:rsidRPr="00995AAB" w:rsidRDefault="008B6F67" w:rsidP="00F425F4">
      <w:pPr>
        <w:rPr>
          <w:lang w:val="en-GB"/>
        </w:rPr>
      </w:pPr>
    </w:p>
    <w:p w14:paraId="4C2047D6" w14:textId="77777777" w:rsidR="003564E8" w:rsidRPr="00C671AE" w:rsidRDefault="003564E8" w:rsidP="00A9410B">
      <w:pPr>
        <w:pStyle w:val="ListParagraph"/>
        <w:numPr>
          <w:ilvl w:val="0"/>
          <w:numId w:val="10"/>
        </w:numPr>
        <w:rPr>
          <w:rFonts w:cs="Arial"/>
          <w:szCs w:val="20"/>
          <w:lang w:val="en-GB"/>
        </w:rPr>
      </w:pPr>
      <w:r w:rsidRPr="00C671AE">
        <w:rPr>
          <w:b/>
          <w:lang w:val="en-GB"/>
        </w:rPr>
        <w:t>The Buy-Side</w:t>
      </w:r>
      <w:r w:rsidRPr="00C671AE">
        <w:rPr>
          <w:lang w:val="en-GB"/>
        </w:rPr>
        <w:t xml:space="preserve"> </w:t>
      </w:r>
      <w:r>
        <w:rPr>
          <w:lang w:val="en-GB"/>
        </w:rPr>
        <w:t>transmitting an order must produce a report under Article 65.6</w:t>
      </w:r>
      <w:r w:rsidR="002E6AC6">
        <w:rPr>
          <w:lang w:val="en-GB"/>
        </w:rPr>
        <w:t>,</w:t>
      </w:r>
      <w:r w:rsidRPr="00C671AE">
        <w:rPr>
          <w:lang w:val="en-GB"/>
        </w:rPr>
        <w:t xml:space="preserve"> identifying the Sell-Side </w:t>
      </w:r>
      <w:r w:rsidR="00D35F98">
        <w:rPr>
          <w:lang w:val="en-GB"/>
        </w:rPr>
        <w:t xml:space="preserve">1 </w:t>
      </w:r>
      <w:r w:rsidRPr="00C671AE">
        <w:rPr>
          <w:lang w:val="en-GB"/>
        </w:rPr>
        <w:t xml:space="preserve">Firm as one of the Top 5 </w:t>
      </w:r>
      <w:r>
        <w:rPr>
          <w:rFonts w:cs="Arial"/>
          <w:szCs w:val="20"/>
          <w:lang w:val="en-GB"/>
        </w:rPr>
        <w:t>brokers</w:t>
      </w:r>
      <w:r w:rsidRPr="007A2D2F">
        <w:rPr>
          <w:rFonts w:cs="Arial"/>
          <w:szCs w:val="20"/>
          <w:lang w:val="en-GB"/>
        </w:rPr>
        <w:t xml:space="preserve"> in terms of trading volumes where it transmitted orders to </w:t>
      </w:r>
      <w:r>
        <w:rPr>
          <w:rFonts w:cs="Arial"/>
          <w:szCs w:val="20"/>
          <w:lang w:val="en-GB"/>
        </w:rPr>
        <w:t xml:space="preserve">(if it qualifies) </w:t>
      </w:r>
      <w:r w:rsidRPr="007A2D2F">
        <w:rPr>
          <w:rFonts w:cs="Arial"/>
          <w:szCs w:val="20"/>
          <w:lang w:val="en-GB"/>
        </w:rPr>
        <w:t>and this should be consistent with the information published under RTS 28</w:t>
      </w:r>
    </w:p>
    <w:p w14:paraId="0D70C5DF" w14:textId="77777777" w:rsidR="008B6F67" w:rsidRPr="00995AAB" w:rsidRDefault="003564E8" w:rsidP="00A9410B">
      <w:pPr>
        <w:pStyle w:val="ListParagraph"/>
        <w:numPr>
          <w:ilvl w:val="0"/>
          <w:numId w:val="10"/>
        </w:numPr>
        <w:rPr>
          <w:rFonts w:cs="Arial"/>
          <w:szCs w:val="20"/>
          <w:lang w:val="en-GB"/>
        </w:rPr>
      </w:pPr>
      <w:r w:rsidRPr="00C671AE">
        <w:rPr>
          <w:b/>
          <w:lang w:val="en-GB"/>
        </w:rPr>
        <w:t>The Sell-Side 1 Firm</w:t>
      </w:r>
      <w:r w:rsidR="00A14AFD">
        <w:rPr>
          <w:b/>
          <w:lang w:val="en-GB"/>
        </w:rPr>
        <w:t xml:space="preserve"> </w:t>
      </w:r>
      <w:r w:rsidR="00A14AFD" w:rsidRPr="00B442F0">
        <w:rPr>
          <w:lang w:val="en-GB"/>
        </w:rPr>
        <w:t xml:space="preserve">must generate an RTS 28 report, identifying </w:t>
      </w:r>
      <w:r w:rsidRPr="00C671AE">
        <w:rPr>
          <w:b/>
          <w:lang w:val="en-GB"/>
        </w:rPr>
        <w:t xml:space="preserve">Sell-Side </w:t>
      </w:r>
      <w:r>
        <w:rPr>
          <w:b/>
          <w:lang w:val="en-GB"/>
        </w:rPr>
        <w:t xml:space="preserve">2 </w:t>
      </w:r>
      <w:r w:rsidRPr="00C671AE">
        <w:rPr>
          <w:b/>
          <w:lang w:val="en-GB"/>
        </w:rPr>
        <w:t>Firm</w:t>
      </w:r>
      <w:r w:rsidRPr="00C671AE">
        <w:rPr>
          <w:lang w:val="en-GB"/>
        </w:rPr>
        <w:t xml:space="preserve"> as one of the Top 5 </w:t>
      </w:r>
      <w:r w:rsidR="00A14AFD">
        <w:rPr>
          <w:rFonts w:cs="Arial"/>
          <w:szCs w:val="20"/>
          <w:lang w:val="en-GB"/>
        </w:rPr>
        <w:t>venues</w:t>
      </w:r>
      <w:r w:rsidRPr="007A2D2F">
        <w:rPr>
          <w:rFonts w:cs="Arial"/>
          <w:szCs w:val="20"/>
          <w:lang w:val="en-GB"/>
        </w:rPr>
        <w:t xml:space="preserve"> in terms of trading volumes where it </w:t>
      </w:r>
      <w:r w:rsidR="00A14AFD">
        <w:rPr>
          <w:rFonts w:cs="Arial"/>
          <w:szCs w:val="20"/>
          <w:lang w:val="en-GB"/>
        </w:rPr>
        <w:t>executed orders.</w:t>
      </w:r>
    </w:p>
    <w:p w14:paraId="501AF09E" w14:textId="2675D559" w:rsidR="00175E9E" w:rsidRPr="007F74CB" w:rsidRDefault="00A14AFD" w:rsidP="007F74CB">
      <w:pPr>
        <w:pStyle w:val="ListParagraph"/>
        <w:numPr>
          <w:ilvl w:val="0"/>
          <w:numId w:val="10"/>
        </w:numPr>
        <w:rPr>
          <w:lang w:val="en-GB"/>
        </w:rPr>
      </w:pPr>
      <w:r w:rsidRPr="00C671AE">
        <w:rPr>
          <w:b/>
          <w:lang w:val="en-GB"/>
        </w:rPr>
        <w:t>The Sell-Side</w:t>
      </w:r>
      <w:r>
        <w:rPr>
          <w:b/>
          <w:lang w:val="en-GB"/>
        </w:rPr>
        <w:t xml:space="preserve"> 2 Firm</w:t>
      </w:r>
      <w:r w:rsidRPr="00C671AE">
        <w:rPr>
          <w:lang w:val="en-GB"/>
        </w:rPr>
        <w:t xml:space="preserve"> must generate an RTS 2</w:t>
      </w:r>
      <w:r>
        <w:rPr>
          <w:lang w:val="en-GB"/>
        </w:rPr>
        <w:t>7</w:t>
      </w:r>
      <w:r w:rsidRPr="00C671AE">
        <w:rPr>
          <w:lang w:val="en-GB"/>
        </w:rPr>
        <w:t xml:space="preserve"> report</w:t>
      </w:r>
      <w:r w:rsidR="00D35F98">
        <w:rPr>
          <w:lang w:val="en-GB"/>
        </w:rPr>
        <w:t xml:space="preserve"> and an RTS 28 report</w:t>
      </w:r>
      <w:r w:rsidRPr="00C671AE">
        <w:rPr>
          <w:lang w:val="en-GB"/>
        </w:rPr>
        <w:t xml:space="preserve">, identifying </w:t>
      </w:r>
      <w:r>
        <w:rPr>
          <w:lang w:val="en-GB"/>
        </w:rPr>
        <w:t>itself</w:t>
      </w:r>
      <w:r w:rsidRPr="00C671AE">
        <w:rPr>
          <w:lang w:val="en-GB"/>
        </w:rPr>
        <w:t xml:space="preserve"> as one of the Top 5 Execution Venues (if it qualifies). </w:t>
      </w:r>
    </w:p>
    <w:p w14:paraId="348DB9DC" w14:textId="77777777" w:rsidR="00B36F11" w:rsidRPr="00995AAB" w:rsidRDefault="00B36F11" w:rsidP="00DB5387">
      <w:pPr>
        <w:rPr>
          <w:lang w:val="en-GB"/>
        </w:rPr>
      </w:pPr>
    </w:p>
    <w:p w14:paraId="3C200C4E" w14:textId="77777777" w:rsidR="00B36F11" w:rsidRPr="00995AAB" w:rsidRDefault="00B36F11" w:rsidP="00DB5387">
      <w:pPr>
        <w:rPr>
          <w:lang w:val="en-GB"/>
        </w:rPr>
      </w:pPr>
      <w:r w:rsidRPr="00A7378B">
        <w:rPr>
          <w:noProof/>
        </w:rPr>
        <w:drawing>
          <wp:inline distT="0" distB="0" distL="0" distR="0" wp14:anchorId="560D6D2E" wp14:editId="5C22748C">
            <wp:extent cx="5943600" cy="11245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7-01-18 at 14.13.38.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1124585"/>
                    </a:xfrm>
                    <a:prstGeom prst="rect">
                      <a:avLst/>
                    </a:prstGeom>
                  </pic:spPr>
                </pic:pic>
              </a:graphicData>
            </a:graphic>
          </wp:inline>
        </w:drawing>
      </w:r>
    </w:p>
    <w:p w14:paraId="3484EEF1" w14:textId="77777777" w:rsidR="00F73461" w:rsidRPr="00995AAB" w:rsidRDefault="00F73461" w:rsidP="00DB5387">
      <w:pPr>
        <w:rPr>
          <w:lang w:val="en-GB"/>
        </w:rPr>
      </w:pPr>
    </w:p>
    <w:p w14:paraId="6ACF6EE3" w14:textId="0E400892" w:rsidR="00F73461" w:rsidRPr="00995AAB" w:rsidRDefault="00F73461" w:rsidP="00995AAB">
      <w:pPr>
        <w:pStyle w:val="Caption"/>
        <w:rPr>
          <w:lang w:val="en-GB"/>
        </w:rPr>
      </w:pPr>
      <w:bookmarkStart w:id="28" w:name="_Ref469381010"/>
      <w:r w:rsidRPr="00995AAB">
        <w:rPr>
          <w:lang w:val="en-GB"/>
        </w:rPr>
        <w:t xml:space="preserve">Figure </w:t>
      </w:r>
      <w:r w:rsidR="007018C6" w:rsidRPr="00995AAB">
        <w:rPr>
          <w:lang w:val="en-GB"/>
        </w:rPr>
        <w:fldChar w:fldCharType="begin"/>
      </w:r>
      <w:r w:rsidRPr="00995AAB">
        <w:rPr>
          <w:lang w:val="en-GB"/>
        </w:rPr>
        <w:instrText xml:space="preserve"> SEQ Figure \* ARABIC </w:instrText>
      </w:r>
      <w:r w:rsidR="007018C6" w:rsidRPr="00995AAB">
        <w:rPr>
          <w:lang w:val="en-GB"/>
        </w:rPr>
        <w:fldChar w:fldCharType="separate"/>
      </w:r>
      <w:r w:rsidR="00F64722">
        <w:rPr>
          <w:noProof/>
          <w:lang w:val="en-GB"/>
        </w:rPr>
        <w:t>11</w:t>
      </w:r>
      <w:r w:rsidR="007018C6" w:rsidRPr="00995AAB">
        <w:rPr>
          <w:lang w:val="en-GB"/>
        </w:rPr>
        <w:fldChar w:fldCharType="end"/>
      </w:r>
      <w:bookmarkEnd w:id="28"/>
      <w:r w:rsidRPr="00995AAB">
        <w:rPr>
          <w:lang w:val="en-GB"/>
        </w:rPr>
        <w:t>: Bond Scenario - Buy-Side uses D2C Trading Venue to access Sell-Side Liquidity</w:t>
      </w:r>
    </w:p>
    <w:p w14:paraId="05908A5B" w14:textId="55C2A894" w:rsidR="004C15FA" w:rsidRPr="00995AAB" w:rsidRDefault="004C15FA" w:rsidP="004C15FA">
      <w:pPr>
        <w:rPr>
          <w:lang w:val="en-GB"/>
        </w:rPr>
      </w:pPr>
      <w:r w:rsidRPr="00995AAB">
        <w:rPr>
          <w:lang w:val="en-GB"/>
        </w:rPr>
        <w:t xml:space="preserve">The fifth bond scenario in </w:t>
      </w:r>
      <w:r w:rsidR="00567AE7">
        <w:fldChar w:fldCharType="begin"/>
      </w:r>
      <w:r w:rsidR="00567AE7">
        <w:instrText xml:space="preserve"> REF _Ref469381010 \h  \* MERGEFORMAT </w:instrText>
      </w:r>
      <w:r w:rsidR="00567AE7">
        <w:fldChar w:fldCharType="separate"/>
      </w:r>
      <w:r w:rsidR="00F64722" w:rsidRPr="00F64722">
        <w:rPr>
          <w:iCs/>
          <w:lang w:val="en-GB"/>
        </w:rPr>
        <w:t xml:space="preserve">Figure </w:t>
      </w:r>
      <w:r w:rsidR="00F64722">
        <w:rPr>
          <w:noProof/>
          <w:lang w:val="en-GB"/>
        </w:rPr>
        <w:t>11</w:t>
      </w:r>
      <w:r w:rsidR="00567AE7">
        <w:fldChar w:fldCharType="end"/>
      </w:r>
      <w:r w:rsidRPr="00995AAB">
        <w:rPr>
          <w:lang w:val="en-GB"/>
        </w:rPr>
        <w:t xml:space="preserve"> represents the situation where the Buy-Side firm uses a D2C</w:t>
      </w:r>
      <w:r w:rsidR="003564E8">
        <w:rPr>
          <w:lang w:val="en-GB"/>
        </w:rPr>
        <w:t xml:space="preserve"> (</w:t>
      </w:r>
      <w:r w:rsidR="00CD62D8">
        <w:rPr>
          <w:lang w:val="en-GB"/>
        </w:rPr>
        <w:t>Dealer to Client</w:t>
      </w:r>
      <w:r w:rsidR="003564E8">
        <w:rPr>
          <w:lang w:val="en-GB"/>
        </w:rPr>
        <w:t>)</w:t>
      </w:r>
      <w:r w:rsidRPr="00995AAB">
        <w:rPr>
          <w:lang w:val="en-GB"/>
        </w:rPr>
        <w:t xml:space="preserve"> Trading Venue to access Sell-Side firm liquidity.</w:t>
      </w:r>
      <w:r w:rsidR="0054487B">
        <w:rPr>
          <w:lang w:val="en-GB"/>
        </w:rPr>
        <w:t xml:space="preserve"> </w:t>
      </w:r>
      <w:r w:rsidRPr="00995AAB">
        <w:rPr>
          <w:lang w:val="en-GB"/>
        </w:rPr>
        <w:t>The Buy-Side firm sends an RFQ to the Trading Venue which distributes the request to multiple Sell-Side firms.</w:t>
      </w:r>
    </w:p>
    <w:p w14:paraId="1518825A" w14:textId="693299C7" w:rsidR="004C15FA" w:rsidRPr="00995AAB" w:rsidRDefault="004C15FA" w:rsidP="00A9410B">
      <w:pPr>
        <w:pStyle w:val="ListParagraph"/>
        <w:numPr>
          <w:ilvl w:val="0"/>
          <w:numId w:val="10"/>
        </w:numPr>
        <w:rPr>
          <w:lang w:val="en-GB"/>
        </w:rPr>
      </w:pPr>
      <w:r w:rsidRPr="00995AAB">
        <w:rPr>
          <w:b/>
          <w:lang w:val="en-GB"/>
        </w:rPr>
        <w:t>The Buy-Side</w:t>
      </w:r>
      <w:r w:rsidRPr="00995AAB">
        <w:rPr>
          <w:lang w:val="en-GB"/>
        </w:rPr>
        <w:t xml:space="preserve"> </w:t>
      </w:r>
      <w:r w:rsidR="00CD62D8">
        <w:rPr>
          <w:lang w:val="en-GB"/>
        </w:rPr>
        <w:t xml:space="preserve">firm </w:t>
      </w:r>
      <w:r w:rsidRPr="00995AAB">
        <w:rPr>
          <w:lang w:val="en-GB"/>
        </w:rPr>
        <w:t xml:space="preserve">must generate an RTS 28 report, identifying </w:t>
      </w:r>
      <w:r w:rsidRPr="00B67495">
        <w:rPr>
          <w:b/>
          <w:u w:val="single"/>
          <w:lang w:val="en-GB"/>
        </w:rPr>
        <w:t xml:space="preserve">the </w:t>
      </w:r>
      <w:r w:rsidR="00B75C88">
        <w:rPr>
          <w:b/>
          <w:u w:val="single"/>
          <w:lang w:val="en-GB"/>
        </w:rPr>
        <w:t>venue</w:t>
      </w:r>
      <w:r w:rsidRPr="00995AAB">
        <w:rPr>
          <w:lang w:val="en-GB"/>
        </w:rPr>
        <w:t xml:space="preserve"> as one of the Top 5 Execution Venues (if it qualifies)</w:t>
      </w:r>
      <w:r w:rsidR="00B75C88">
        <w:rPr>
          <w:lang w:val="en-GB"/>
        </w:rPr>
        <w:t xml:space="preserve"> – not the dealer as the transaction as occurred on the relevant venue</w:t>
      </w:r>
      <w:r w:rsidR="00B67495">
        <w:rPr>
          <w:lang w:val="en-GB"/>
        </w:rPr>
        <w:t>.</w:t>
      </w:r>
    </w:p>
    <w:p w14:paraId="684D807F" w14:textId="77777777" w:rsidR="004C15FA" w:rsidRPr="00995AAB" w:rsidRDefault="004C15FA" w:rsidP="00A9410B">
      <w:pPr>
        <w:pStyle w:val="ListParagraph"/>
        <w:numPr>
          <w:ilvl w:val="0"/>
          <w:numId w:val="10"/>
        </w:numPr>
        <w:rPr>
          <w:lang w:val="en-GB"/>
        </w:rPr>
      </w:pPr>
      <w:r w:rsidRPr="007918C5">
        <w:rPr>
          <w:b/>
          <w:lang w:val="en-GB"/>
        </w:rPr>
        <w:t>The Sell-Side 1 Firm</w:t>
      </w:r>
      <w:r w:rsidRPr="007918C5">
        <w:rPr>
          <w:lang w:val="en-GB"/>
        </w:rPr>
        <w:t xml:space="preserve"> does not include this flow in its RTS 28 report</w:t>
      </w:r>
      <w:r w:rsidR="00901E1D" w:rsidRPr="007918C5">
        <w:rPr>
          <w:lang w:val="en-GB"/>
        </w:rPr>
        <w:t xml:space="preserve"> as it is not </w:t>
      </w:r>
      <w:r w:rsidR="00D84F3D" w:rsidRPr="007918C5">
        <w:rPr>
          <w:lang w:val="en-GB"/>
        </w:rPr>
        <w:t xml:space="preserve">dealing </w:t>
      </w:r>
      <w:r w:rsidR="00303E54" w:rsidRPr="007918C5">
        <w:rPr>
          <w:lang w:val="en-GB"/>
        </w:rPr>
        <w:t xml:space="preserve">directly </w:t>
      </w:r>
      <w:r w:rsidR="00D84F3D" w:rsidRPr="007918C5">
        <w:rPr>
          <w:lang w:val="en-GB"/>
        </w:rPr>
        <w:t>with client orders</w:t>
      </w:r>
      <w:r w:rsidRPr="007918C5">
        <w:rPr>
          <w:lang w:val="en-GB"/>
        </w:rPr>
        <w:t>.</w:t>
      </w:r>
      <w:r w:rsidRPr="00995AAB">
        <w:rPr>
          <w:lang w:val="en-GB"/>
        </w:rPr>
        <w:br/>
        <w:t>As the firm is providing liquidity on the Trading Venue and is not the Execution Venue, the Sell-Side firm does not produce an RTS 27 Report.</w:t>
      </w:r>
    </w:p>
    <w:p w14:paraId="0047851F" w14:textId="77777777" w:rsidR="004E1B41" w:rsidRDefault="004E1B41" w:rsidP="00A9410B">
      <w:pPr>
        <w:pStyle w:val="ListParagraph"/>
        <w:numPr>
          <w:ilvl w:val="0"/>
          <w:numId w:val="10"/>
        </w:numPr>
        <w:rPr>
          <w:lang w:val="en-GB"/>
        </w:rPr>
      </w:pPr>
      <w:r w:rsidRPr="00995AAB">
        <w:rPr>
          <w:b/>
          <w:lang w:val="en-GB"/>
        </w:rPr>
        <w:t>The Trading Venue</w:t>
      </w:r>
      <w:r w:rsidRPr="00995AAB">
        <w:rPr>
          <w:lang w:val="en-GB"/>
        </w:rPr>
        <w:t xml:space="preserve"> must generate an RTS 27 report.</w:t>
      </w:r>
    </w:p>
    <w:p w14:paraId="1192E1C5" w14:textId="72DF4B10" w:rsidR="003011B1" w:rsidRPr="003011B1" w:rsidRDefault="003011B1" w:rsidP="003011B1">
      <w:pPr>
        <w:pStyle w:val="ListParagraph"/>
        <w:numPr>
          <w:ilvl w:val="0"/>
          <w:numId w:val="10"/>
        </w:numPr>
        <w:rPr>
          <w:lang w:val="en-GB"/>
        </w:rPr>
      </w:pPr>
      <w:r>
        <w:rPr>
          <w:lang w:val="en-GB"/>
        </w:rPr>
        <w:t>The above example is caveated by the fact that the industry is waiting for clarity on whether the buy-side firm would be obligated to complete an RTS 28 report identifying the venue or the underlying counterparty (broker) as one of its Top 5 execution venue (if it qualifies)  This will be updated once further guidance has been received from ESMA.</w:t>
      </w:r>
    </w:p>
    <w:p w14:paraId="0189C04C" w14:textId="77777777" w:rsidR="004E1B41" w:rsidRPr="00995AAB" w:rsidRDefault="004E1B41" w:rsidP="00995AAB">
      <w:pPr>
        <w:rPr>
          <w:lang w:val="en-GB"/>
        </w:rPr>
      </w:pPr>
    </w:p>
    <w:p w14:paraId="43BC0AE3" w14:textId="77777777" w:rsidR="00470576" w:rsidRPr="00995AAB" w:rsidRDefault="00470576">
      <w:pPr>
        <w:rPr>
          <w:lang w:val="en-GB"/>
        </w:rPr>
      </w:pPr>
    </w:p>
    <w:p w14:paraId="1FFA72F8" w14:textId="77777777" w:rsidR="003564E8" w:rsidRPr="00C671AE" w:rsidRDefault="00261175" w:rsidP="003564E8">
      <w:pPr>
        <w:rPr>
          <w:lang w:val="en-GB"/>
        </w:rPr>
      </w:pPr>
      <w:r>
        <w:rPr>
          <w:noProof/>
        </w:rPr>
        <w:drawing>
          <wp:inline distT="0" distB="0" distL="0" distR="0" wp14:anchorId="30DDFBD9" wp14:editId="4F137744">
            <wp:extent cx="5943600" cy="112458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 Shot 2017-02-26 at 13.08.53.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1124585"/>
                    </a:xfrm>
                    <a:prstGeom prst="rect">
                      <a:avLst/>
                    </a:prstGeom>
                  </pic:spPr>
                </pic:pic>
              </a:graphicData>
            </a:graphic>
          </wp:inline>
        </w:drawing>
      </w:r>
    </w:p>
    <w:p w14:paraId="66195907" w14:textId="77777777" w:rsidR="003564E8" w:rsidRDefault="003564E8" w:rsidP="003564E8">
      <w:pPr>
        <w:rPr>
          <w:lang w:val="en-GB"/>
        </w:rPr>
      </w:pPr>
    </w:p>
    <w:p w14:paraId="75793F93" w14:textId="3F468841" w:rsidR="005A1224" w:rsidRPr="00C671AE" w:rsidRDefault="005A1224" w:rsidP="00995AAB">
      <w:pPr>
        <w:pStyle w:val="Caption"/>
        <w:rPr>
          <w:lang w:val="en-GB"/>
        </w:rPr>
      </w:pPr>
      <w:bookmarkStart w:id="29" w:name="_Ref473888926"/>
      <w:r>
        <w:t xml:space="preserve">Figure </w:t>
      </w:r>
      <w:r w:rsidR="007018C6">
        <w:fldChar w:fldCharType="begin"/>
      </w:r>
      <w:r w:rsidR="00A71E53">
        <w:instrText xml:space="preserve"> SEQ Figure \* ARABIC </w:instrText>
      </w:r>
      <w:r w:rsidR="007018C6">
        <w:fldChar w:fldCharType="separate"/>
      </w:r>
      <w:r w:rsidR="00F64722">
        <w:rPr>
          <w:noProof/>
        </w:rPr>
        <w:t>12</w:t>
      </w:r>
      <w:r w:rsidR="007018C6">
        <w:rPr>
          <w:noProof/>
        </w:rPr>
        <w:fldChar w:fldCharType="end"/>
      </w:r>
      <w:bookmarkEnd w:id="29"/>
      <w:r>
        <w:t xml:space="preserve">: </w:t>
      </w:r>
      <w:r w:rsidRPr="00842866">
        <w:t>Bond Scenario - Buy-Side uses D2C Trading Venue to source Sell-Side liquidity from multiple providers</w:t>
      </w:r>
    </w:p>
    <w:p w14:paraId="4788E908" w14:textId="27CA1B25" w:rsidR="003564E8" w:rsidRPr="00C671AE" w:rsidRDefault="003564E8" w:rsidP="003564E8">
      <w:pPr>
        <w:rPr>
          <w:lang w:val="en-GB"/>
        </w:rPr>
      </w:pPr>
      <w:r w:rsidRPr="00C671AE">
        <w:rPr>
          <w:lang w:val="en-GB"/>
        </w:rPr>
        <w:t xml:space="preserve">The </w:t>
      </w:r>
      <w:r>
        <w:rPr>
          <w:lang w:val="en-GB"/>
        </w:rPr>
        <w:t xml:space="preserve">final </w:t>
      </w:r>
      <w:r w:rsidRPr="00C671AE">
        <w:rPr>
          <w:lang w:val="en-GB"/>
        </w:rPr>
        <w:t xml:space="preserve">bond scenario in </w:t>
      </w:r>
      <w:r w:rsidR="007018C6">
        <w:rPr>
          <w:lang w:val="en-GB"/>
        </w:rPr>
        <w:fldChar w:fldCharType="begin"/>
      </w:r>
      <w:r w:rsidR="005A1224">
        <w:rPr>
          <w:lang w:val="en-GB"/>
        </w:rPr>
        <w:instrText xml:space="preserve"> REF _Ref473888926 \h </w:instrText>
      </w:r>
      <w:r w:rsidR="007018C6">
        <w:rPr>
          <w:lang w:val="en-GB"/>
        </w:rPr>
      </w:r>
      <w:r w:rsidR="007018C6">
        <w:rPr>
          <w:lang w:val="en-GB"/>
        </w:rPr>
        <w:fldChar w:fldCharType="separate"/>
      </w:r>
      <w:r w:rsidR="00F64722">
        <w:t xml:space="preserve">Figure </w:t>
      </w:r>
      <w:r w:rsidR="00F64722">
        <w:rPr>
          <w:noProof/>
        </w:rPr>
        <w:t>12</w:t>
      </w:r>
      <w:r w:rsidR="007018C6">
        <w:rPr>
          <w:lang w:val="en-GB"/>
        </w:rPr>
        <w:fldChar w:fldCharType="end"/>
      </w:r>
      <w:r w:rsidR="005A1224">
        <w:rPr>
          <w:lang w:val="en-GB"/>
        </w:rPr>
        <w:t xml:space="preserve"> </w:t>
      </w:r>
      <w:r w:rsidRPr="00C671AE">
        <w:rPr>
          <w:lang w:val="en-GB"/>
        </w:rPr>
        <w:t>represents the situation where the Buy-Side firm uses a D2C</w:t>
      </w:r>
      <w:r>
        <w:rPr>
          <w:lang w:val="en-GB"/>
        </w:rPr>
        <w:t xml:space="preserve"> (</w:t>
      </w:r>
      <w:r w:rsidR="007918C5">
        <w:rPr>
          <w:lang w:val="en-GB"/>
        </w:rPr>
        <w:t>Dealer to Client</w:t>
      </w:r>
      <w:r>
        <w:rPr>
          <w:lang w:val="en-GB"/>
        </w:rPr>
        <w:t>)</w:t>
      </w:r>
      <w:r w:rsidRPr="00C671AE">
        <w:rPr>
          <w:lang w:val="en-GB"/>
        </w:rPr>
        <w:t xml:space="preserve"> Trading Venue to access Sell-Side liquidity</w:t>
      </w:r>
      <w:r>
        <w:rPr>
          <w:lang w:val="en-GB"/>
        </w:rPr>
        <w:t xml:space="preserve"> from multiple providers</w:t>
      </w:r>
      <w:r w:rsidRPr="00C671AE">
        <w:rPr>
          <w:lang w:val="en-GB"/>
        </w:rPr>
        <w:t>.</w:t>
      </w:r>
    </w:p>
    <w:p w14:paraId="6A60B0D8" w14:textId="77777777" w:rsidR="003564E8" w:rsidRPr="00C671AE" w:rsidRDefault="003564E8" w:rsidP="003564E8">
      <w:pPr>
        <w:rPr>
          <w:lang w:val="en-GB"/>
        </w:rPr>
      </w:pPr>
      <w:r w:rsidRPr="00C671AE">
        <w:rPr>
          <w:lang w:val="en-GB"/>
        </w:rPr>
        <w:t>The Buy-Side firm sends an RFQ to the Trading Venue which distributes the request to multiple Sell-Side firms.</w:t>
      </w:r>
      <w:r>
        <w:rPr>
          <w:lang w:val="en-GB"/>
        </w:rPr>
        <w:t xml:space="preserve">  The</w:t>
      </w:r>
      <w:r w:rsidR="00261175">
        <w:rPr>
          <w:lang w:val="en-GB"/>
        </w:rPr>
        <w:t xml:space="preserve"> </w:t>
      </w:r>
      <w:r>
        <w:rPr>
          <w:lang w:val="en-GB"/>
        </w:rPr>
        <w:t>trade is then executed once electronically confirmed via FIX Message.</w:t>
      </w:r>
    </w:p>
    <w:p w14:paraId="701A9044" w14:textId="5ED1ACD5" w:rsidR="00B75C88" w:rsidRDefault="003564E8" w:rsidP="00B75C88">
      <w:pPr>
        <w:pStyle w:val="ListParagraph"/>
        <w:numPr>
          <w:ilvl w:val="0"/>
          <w:numId w:val="10"/>
        </w:numPr>
        <w:rPr>
          <w:lang w:val="en-GB"/>
        </w:rPr>
      </w:pPr>
      <w:r w:rsidRPr="00C671AE">
        <w:rPr>
          <w:b/>
          <w:lang w:val="en-GB"/>
        </w:rPr>
        <w:t>The Buy-Side</w:t>
      </w:r>
      <w:r w:rsidRPr="00C671AE">
        <w:rPr>
          <w:lang w:val="en-GB"/>
        </w:rPr>
        <w:t xml:space="preserve"> must generate an RTS 28 report, identifying </w:t>
      </w:r>
      <w:r w:rsidR="00B75C88" w:rsidRPr="00AF42FB">
        <w:rPr>
          <w:b/>
          <w:lang w:val="en-GB"/>
        </w:rPr>
        <w:t>the venue</w:t>
      </w:r>
      <w:r w:rsidRPr="00C671AE">
        <w:rPr>
          <w:lang w:val="en-GB"/>
        </w:rPr>
        <w:t xml:space="preserve"> as one of the Top 5 Execution Venues (if it qualifies</w:t>
      </w:r>
      <w:r w:rsidR="00B75C88">
        <w:rPr>
          <w:lang w:val="en-GB"/>
        </w:rPr>
        <w:t xml:space="preserve">) </w:t>
      </w:r>
      <w:r w:rsidR="00B75C88" w:rsidRPr="00B75C88">
        <w:rPr>
          <w:lang w:val="en-GB"/>
        </w:rPr>
        <w:t>– not the dealer as the transaction occurred on the venue.</w:t>
      </w:r>
    </w:p>
    <w:p w14:paraId="6C2E2826" w14:textId="24D8BA49" w:rsidR="003564E8" w:rsidRPr="00AF42FB" w:rsidRDefault="00AF42FB" w:rsidP="00AF42FB">
      <w:pPr>
        <w:pStyle w:val="ListParagraph"/>
        <w:numPr>
          <w:ilvl w:val="0"/>
          <w:numId w:val="10"/>
        </w:numPr>
        <w:rPr>
          <w:lang w:val="en-GB"/>
        </w:rPr>
      </w:pPr>
      <w:r w:rsidRPr="007918C5">
        <w:rPr>
          <w:b/>
          <w:lang w:val="en-GB"/>
        </w:rPr>
        <w:t>The Sell-Side 1 Firm</w:t>
      </w:r>
      <w:r w:rsidRPr="007918C5">
        <w:rPr>
          <w:lang w:val="en-GB"/>
        </w:rPr>
        <w:t xml:space="preserve"> does not include this flow in its RTS 28 report as it is not dealing directly with client orders.</w:t>
      </w:r>
      <w:r w:rsidR="00C641F0" w:rsidRPr="00AF42FB">
        <w:rPr>
          <w:lang w:val="en-GB"/>
        </w:rPr>
        <w:t xml:space="preserve"> </w:t>
      </w:r>
      <w:r w:rsidR="003564E8" w:rsidRPr="00AF42FB">
        <w:rPr>
          <w:lang w:val="en-GB"/>
        </w:rPr>
        <w:t xml:space="preserve">As the </w:t>
      </w:r>
      <w:r w:rsidR="00261175" w:rsidRPr="00AF42FB">
        <w:rPr>
          <w:lang w:val="en-GB"/>
        </w:rPr>
        <w:t xml:space="preserve">Sell-Side 1 </w:t>
      </w:r>
      <w:r w:rsidR="003564E8" w:rsidRPr="00AF42FB">
        <w:rPr>
          <w:lang w:val="en-GB"/>
        </w:rPr>
        <w:t>firm is providing liquidity on the Trading Venue and is not the Execution Venue, the Sell-Side firm does not produce an RTS 27 Report.</w:t>
      </w:r>
    </w:p>
    <w:p w14:paraId="41C729E6" w14:textId="77777777" w:rsidR="003564E8" w:rsidRPr="00C671AE" w:rsidRDefault="003564E8" w:rsidP="00A9410B">
      <w:pPr>
        <w:pStyle w:val="ListParagraph"/>
        <w:numPr>
          <w:ilvl w:val="0"/>
          <w:numId w:val="10"/>
        </w:numPr>
        <w:rPr>
          <w:lang w:val="en-GB"/>
        </w:rPr>
      </w:pPr>
      <w:r w:rsidRPr="00C671AE">
        <w:rPr>
          <w:b/>
          <w:lang w:val="en-GB"/>
        </w:rPr>
        <w:t>The Trading Venue</w:t>
      </w:r>
      <w:r w:rsidRPr="00C671AE">
        <w:rPr>
          <w:lang w:val="en-GB"/>
        </w:rPr>
        <w:t xml:space="preserve"> must generate an RTS 27 report.</w:t>
      </w:r>
    </w:p>
    <w:p w14:paraId="1AD8A4D0" w14:textId="77777777" w:rsidR="0094611E" w:rsidRDefault="0094611E" w:rsidP="00DB5387">
      <w:pPr>
        <w:rPr>
          <w:lang w:val="en-GB"/>
        </w:rPr>
      </w:pPr>
    </w:p>
    <w:p w14:paraId="66F1920B" w14:textId="42015A1D" w:rsidR="00FF5C88" w:rsidRDefault="00FF5C88">
      <w:pPr>
        <w:rPr>
          <w:lang w:val="en-GB"/>
        </w:rPr>
      </w:pPr>
    </w:p>
    <w:p w14:paraId="2E955477" w14:textId="182934BA" w:rsidR="00B61599" w:rsidRPr="00995AAB" w:rsidRDefault="003D5399" w:rsidP="00DB5387">
      <w:pPr>
        <w:rPr>
          <w:lang w:val="en-GB"/>
        </w:rPr>
      </w:pPr>
      <w:r>
        <w:rPr>
          <w:lang w:val="en-GB"/>
        </w:rPr>
        <w:br w:type="page"/>
      </w:r>
    </w:p>
    <w:p w14:paraId="5C7C97FF" w14:textId="77777777" w:rsidR="00B61599" w:rsidRPr="00995AAB" w:rsidRDefault="00B61599" w:rsidP="00B61599">
      <w:pPr>
        <w:pStyle w:val="Heading2"/>
        <w:rPr>
          <w:lang w:val="en-GB"/>
        </w:rPr>
      </w:pPr>
      <w:bookmarkStart w:id="30" w:name="_Toc495562554"/>
      <w:r w:rsidRPr="00995AAB">
        <w:rPr>
          <w:lang w:val="en-GB"/>
        </w:rPr>
        <w:lastRenderedPageBreak/>
        <w:t>Derivatives</w:t>
      </w:r>
      <w:bookmarkEnd w:id="30"/>
    </w:p>
    <w:p w14:paraId="32DFEFF9" w14:textId="77777777" w:rsidR="00B61599" w:rsidRPr="00995AAB" w:rsidRDefault="00B61599" w:rsidP="00B61599">
      <w:pPr>
        <w:rPr>
          <w:lang w:val="en-GB"/>
        </w:rPr>
      </w:pPr>
    </w:p>
    <w:p w14:paraId="5405F13B" w14:textId="77777777" w:rsidR="005A1224" w:rsidRDefault="00542077">
      <w:pPr>
        <w:rPr>
          <w:lang w:val="en-GB"/>
        </w:rPr>
      </w:pPr>
      <w:r w:rsidRPr="00A7378B">
        <w:rPr>
          <w:noProof/>
        </w:rPr>
        <w:drawing>
          <wp:inline distT="0" distB="0" distL="0" distR="0" wp14:anchorId="38D357D3" wp14:editId="1EDD179D">
            <wp:extent cx="5943600" cy="111125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6-12-12 at 08.25.2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1111250"/>
                    </a:xfrm>
                    <a:prstGeom prst="rect">
                      <a:avLst/>
                    </a:prstGeom>
                  </pic:spPr>
                </pic:pic>
              </a:graphicData>
            </a:graphic>
          </wp:inline>
        </w:drawing>
      </w:r>
    </w:p>
    <w:p w14:paraId="7FD8941D" w14:textId="77777777" w:rsidR="00C21565" w:rsidRDefault="00C21565">
      <w:pPr>
        <w:rPr>
          <w:lang w:val="en-GB"/>
        </w:rPr>
      </w:pPr>
    </w:p>
    <w:p w14:paraId="0304531B" w14:textId="75B2D8B5" w:rsidR="00F73461" w:rsidRPr="00995AAB" w:rsidRDefault="005A1224" w:rsidP="00995AAB">
      <w:pPr>
        <w:pStyle w:val="Caption"/>
        <w:rPr>
          <w:lang w:val="en-GB"/>
        </w:rPr>
      </w:pPr>
      <w:bookmarkStart w:id="31" w:name="_Ref473889014"/>
      <w:bookmarkStart w:id="32" w:name="_Ref491419243"/>
      <w:r>
        <w:t xml:space="preserve">Figure </w:t>
      </w:r>
      <w:bookmarkEnd w:id="31"/>
      <w:r w:rsidR="00715BCD">
        <w:fldChar w:fldCharType="begin"/>
      </w:r>
      <w:r w:rsidR="00715BCD">
        <w:instrText xml:space="preserve"> SEQ Figure \* ARABIC </w:instrText>
      </w:r>
      <w:r w:rsidR="00715BCD">
        <w:fldChar w:fldCharType="separate"/>
      </w:r>
      <w:r w:rsidR="00F64722">
        <w:rPr>
          <w:noProof/>
        </w:rPr>
        <w:t>13</w:t>
      </w:r>
      <w:r w:rsidR="00715BCD">
        <w:rPr>
          <w:noProof/>
        </w:rPr>
        <w:fldChar w:fldCharType="end"/>
      </w:r>
      <w:bookmarkEnd w:id="32"/>
      <w:r>
        <w:t xml:space="preserve">: </w:t>
      </w:r>
      <w:r w:rsidRPr="008F6C50">
        <w:t>Derivative Scenario - Buy-Side trades OTC with Sell-Side</w:t>
      </w:r>
    </w:p>
    <w:p w14:paraId="57F4F126" w14:textId="5C8559A2" w:rsidR="00CC30CD" w:rsidRPr="00995AAB" w:rsidRDefault="00DA2314" w:rsidP="00CC30CD">
      <w:pPr>
        <w:rPr>
          <w:lang w:val="en-GB"/>
        </w:rPr>
      </w:pPr>
      <w:r w:rsidRPr="00995AAB">
        <w:rPr>
          <w:lang w:val="en-GB"/>
        </w:rPr>
        <w:t>The first derivative</w:t>
      </w:r>
      <w:r w:rsidR="00CC30CD" w:rsidRPr="00995AAB">
        <w:rPr>
          <w:lang w:val="en-GB"/>
        </w:rPr>
        <w:t xml:space="preserve"> scenario in</w:t>
      </w:r>
      <w:r w:rsidR="00D855F6" w:rsidRPr="00995AAB">
        <w:rPr>
          <w:lang w:val="en-GB"/>
        </w:rPr>
        <w:t xml:space="preserve"> </w:t>
      </w:r>
      <w:r w:rsidR="00380B5E">
        <w:rPr>
          <w:lang w:val="en-GB"/>
        </w:rPr>
        <w:fldChar w:fldCharType="begin"/>
      </w:r>
      <w:r w:rsidR="00380B5E">
        <w:rPr>
          <w:lang w:val="en-GB"/>
        </w:rPr>
        <w:instrText xml:space="preserve"> REF _Ref491419243 \h </w:instrText>
      </w:r>
      <w:r w:rsidR="00380B5E">
        <w:rPr>
          <w:lang w:val="en-GB"/>
        </w:rPr>
      </w:r>
      <w:r w:rsidR="00380B5E">
        <w:rPr>
          <w:lang w:val="en-GB"/>
        </w:rPr>
        <w:fldChar w:fldCharType="separate"/>
      </w:r>
      <w:r w:rsidR="00F64722">
        <w:t xml:space="preserve">Figure </w:t>
      </w:r>
      <w:r w:rsidR="00F64722">
        <w:rPr>
          <w:noProof/>
        </w:rPr>
        <w:t>13</w:t>
      </w:r>
      <w:r w:rsidR="00380B5E">
        <w:rPr>
          <w:lang w:val="en-GB"/>
        </w:rPr>
        <w:fldChar w:fldCharType="end"/>
      </w:r>
      <w:r w:rsidR="00CC30CD" w:rsidRPr="00995AAB">
        <w:rPr>
          <w:lang w:val="en-GB"/>
        </w:rPr>
        <w:t>, represents the situation where the Buy-Side firm requests a quote from the Sell-Side</w:t>
      </w:r>
      <w:r w:rsidR="00A25757" w:rsidRPr="00995AAB">
        <w:rPr>
          <w:lang w:val="en-GB"/>
        </w:rPr>
        <w:t xml:space="preserve"> firm for a derivative to hedge a position</w:t>
      </w:r>
      <w:r w:rsidR="00CC30CD" w:rsidRPr="00995AAB">
        <w:rPr>
          <w:lang w:val="en-GB"/>
        </w:rPr>
        <w:t xml:space="preserve">. The Sell-Side </w:t>
      </w:r>
      <w:r w:rsidR="000D00EA" w:rsidRPr="00995AAB">
        <w:rPr>
          <w:lang w:val="en-GB"/>
        </w:rPr>
        <w:t>“manufactures”</w:t>
      </w:r>
      <w:r w:rsidR="00A25757" w:rsidRPr="00995AAB">
        <w:rPr>
          <w:lang w:val="en-GB"/>
        </w:rPr>
        <w:t xml:space="preserve"> a specific</w:t>
      </w:r>
      <w:r w:rsidR="000D00EA" w:rsidRPr="00995AAB">
        <w:rPr>
          <w:lang w:val="en-GB"/>
        </w:rPr>
        <w:t xml:space="preserve"> derivative</w:t>
      </w:r>
      <w:r w:rsidR="00EE35D4" w:rsidRPr="00995AAB">
        <w:rPr>
          <w:lang w:val="en-GB"/>
        </w:rPr>
        <w:t xml:space="preserve"> for the Buy-Side</w:t>
      </w:r>
      <w:r w:rsidR="00A25757" w:rsidRPr="00995AAB">
        <w:rPr>
          <w:lang w:val="en-GB"/>
        </w:rPr>
        <w:t xml:space="preserve"> tailored for the hedge</w:t>
      </w:r>
      <w:r w:rsidR="00EE35D4" w:rsidRPr="00995AAB">
        <w:rPr>
          <w:lang w:val="en-GB"/>
        </w:rPr>
        <w:t>.</w:t>
      </w:r>
    </w:p>
    <w:p w14:paraId="6AD41D70" w14:textId="77777777" w:rsidR="00CC30CD" w:rsidRPr="00995AAB" w:rsidRDefault="00CC30CD" w:rsidP="00A9410B">
      <w:pPr>
        <w:pStyle w:val="ListParagraph"/>
        <w:numPr>
          <w:ilvl w:val="0"/>
          <w:numId w:val="11"/>
        </w:numPr>
        <w:rPr>
          <w:lang w:val="en-GB"/>
        </w:rPr>
      </w:pPr>
      <w:r w:rsidRPr="00995AAB">
        <w:rPr>
          <w:b/>
          <w:lang w:val="en-GB"/>
        </w:rPr>
        <w:t>The Buy-Side</w:t>
      </w:r>
      <w:r w:rsidRPr="00995AAB">
        <w:rPr>
          <w:lang w:val="en-GB"/>
        </w:rPr>
        <w:t xml:space="preserve"> must generate an RTS 28 report, identifying the Sell-Side 1 Firm as one of the Top 5 Execution Venues (if it qualifies).</w:t>
      </w:r>
      <w:r w:rsidR="00A25757" w:rsidRPr="00995AAB">
        <w:rPr>
          <w:lang w:val="en-GB"/>
        </w:rPr>
        <w:br/>
      </w:r>
      <w:r w:rsidR="00A25757" w:rsidRPr="00995AAB">
        <w:rPr>
          <w:b/>
          <w:lang w:val="en-GB"/>
        </w:rPr>
        <w:t>N.B.</w:t>
      </w:r>
      <w:r w:rsidR="00A25757" w:rsidRPr="00995AAB">
        <w:rPr>
          <w:lang w:val="en-GB"/>
        </w:rPr>
        <w:t xml:space="preserve"> The client in this case is often a Corporate instead of a regulated Buy-Side firm and, if this is the case, the Corporate is not obliged to generate an RTS 28 Report. </w:t>
      </w:r>
    </w:p>
    <w:p w14:paraId="667A5256" w14:textId="77777777" w:rsidR="00542077" w:rsidRPr="00995AAB" w:rsidRDefault="00CC30CD" w:rsidP="00A9410B">
      <w:pPr>
        <w:pStyle w:val="ListParagraph"/>
        <w:numPr>
          <w:ilvl w:val="0"/>
          <w:numId w:val="11"/>
        </w:numPr>
        <w:rPr>
          <w:lang w:val="en-GB"/>
        </w:rPr>
      </w:pPr>
      <w:r w:rsidRPr="00995AAB">
        <w:rPr>
          <w:b/>
          <w:lang w:val="en-GB"/>
        </w:rPr>
        <w:t xml:space="preserve">The Sell-Side </w:t>
      </w:r>
      <w:r w:rsidRPr="00995AAB">
        <w:rPr>
          <w:lang w:val="en-GB"/>
        </w:rPr>
        <w:t>must generate an RT</w:t>
      </w:r>
      <w:r w:rsidR="00E908BD" w:rsidRPr="00995AAB">
        <w:rPr>
          <w:lang w:val="en-GB"/>
        </w:rPr>
        <w:t>S 28 report, identifying itself</w:t>
      </w:r>
      <w:r w:rsidRPr="00995AAB">
        <w:rPr>
          <w:lang w:val="en-GB"/>
        </w:rPr>
        <w:t xml:space="preserve"> as one of the Top 5 Ex</w:t>
      </w:r>
      <w:r w:rsidR="00E908BD" w:rsidRPr="00995AAB">
        <w:rPr>
          <w:lang w:val="en-GB"/>
        </w:rPr>
        <w:t>ecution Venues</w:t>
      </w:r>
      <w:r w:rsidRPr="00995AAB">
        <w:rPr>
          <w:lang w:val="en-GB"/>
        </w:rPr>
        <w:t xml:space="preserve">. </w:t>
      </w:r>
      <w:r w:rsidRPr="00995AAB">
        <w:rPr>
          <w:lang w:val="en-GB"/>
        </w:rPr>
        <w:br/>
      </w:r>
      <w:r w:rsidR="006D084A" w:rsidRPr="00995AAB">
        <w:rPr>
          <w:lang w:val="en-GB"/>
        </w:rPr>
        <w:t>T</w:t>
      </w:r>
      <w:r w:rsidRPr="00995AAB">
        <w:rPr>
          <w:lang w:val="en-GB"/>
        </w:rPr>
        <w:t>he Sell-Side firm must produce an RTS 27 Report as well.</w:t>
      </w:r>
    </w:p>
    <w:p w14:paraId="7DB5A8CC" w14:textId="77777777" w:rsidR="00E866C1" w:rsidRPr="00995AAB" w:rsidRDefault="00E866C1" w:rsidP="00DB5387">
      <w:pPr>
        <w:rPr>
          <w:lang w:val="en-GB"/>
        </w:rPr>
      </w:pPr>
    </w:p>
    <w:p w14:paraId="3D19881B" w14:textId="77777777" w:rsidR="006654AD" w:rsidRPr="00995AAB" w:rsidRDefault="006654AD" w:rsidP="00DB5387">
      <w:pPr>
        <w:rPr>
          <w:lang w:val="en-GB"/>
        </w:rPr>
      </w:pPr>
      <w:r w:rsidRPr="00995AAB">
        <w:rPr>
          <w:lang w:val="en-GB"/>
        </w:rPr>
        <w:t xml:space="preserve">This is a common flow for Fixed Income and FX derivatives as well as other derivatives where there is a high level of customization. </w:t>
      </w:r>
    </w:p>
    <w:p w14:paraId="1787402A" w14:textId="77777777" w:rsidR="006654AD" w:rsidRPr="00995AAB" w:rsidRDefault="006654AD" w:rsidP="00DB5387">
      <w:pPr>
        <w:rPr>
          <w:lang w:val="en-GB"/>
        </w:rPr>
      </w:pPr>
    </w:p>
    <w:p w14:paraId="3AB54241" w14:textId="77777777" w:rsidR="00542077" w:rsidRDefault="001F2FBC" w:rsidP="00DB5387">
      <w:pPr>
        <w:rPr>
          <w:lang w:val="en-GB"/>
        </w:rPr>
      </w:pPr>
      <w:r>
        <w:rPr>
          <w:noProof/>
        </w:rPr>
        <w:drawing>
          <wp:inline distT="0" distB="0" distL="0" distR="0" wp14:anchorId="22DFB356" wp14:editId="7AEFA0C9">
            <wp:extent cx="5943600" cy="1111885"/>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ure 1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1111885"/>
                    </a:xfrm>
                    <a:prstGeom prst="rect">
                      <a:avLst/>
                    </a:prstGeom>
                  </pic:spPr>
                </pic:pic>
              </a:graphicData>
            </a:graphic>
          </wp:inline>
        </w:drawing>
      </w:r>
    </w:p>
    <w:p w14:paraId="32B726DB" w14:textId="77777777" w:rsidR="00C21565" w:rsidRPr="00995AAB" w:rsidRDefault="00C21565" w:rsidP="00DB5387">
      <w:pPr>
        <w:rPr>
          <w:lang w:val="en-GB"/>
        </w:rPr>
      </w:pPr>
    </w:p>
    <w:p w14:paraId="56BB9DE4" w14:textId="02CC9577" w:rsidR="00BF2186" w:rsidRPr="00995AAB" w:rsidRDefault="00BF2186" w:rsidP="00995AAB">
      <w:pPr>
        <w:pStyle w:val="Caption"/>
        <w:rPr>
          <w:lang w:val="en-GB"/>
        </w:rPr>
      </w:pPr>
      <w:bookmarkStart w:id="33" w:name="_Ref469465556"/>
      <w:bookmarkStart w:id="34" w:name="_Ref491419207"/>
      <w:r w:rsidRPr="00995AAB">
        <w:rPr>
          <w:lang w:val="en-GB"/>
        </w:rPr>
        <w:t xml:space="preserve">Figure </w:t>
      </w:r>
      <w:bookmarkEnd w:id="33"/>
      <w:r w:rsidR="00715BCD" w:rsidRPr="00995AAB">
        <w:rPr>
          <w:lang w:val="en-GB"/>
        </w:rPr>
        <w:fldChar w:fldCharType="begin"/>
      </w:r>
      <w:r w:rsidR="00715BCD" w:rsidRPr="00995AAB">
        <w:rPr>
          <w:lang w:val="en-GB"/>
        </w:rPr>
        <w:instrText xml:space="preserve"> SEQ Figure \* ARABIC </w:instrText>
      </w:r>
      <w:r w:rsidR="00715BCD" w:rsidRPr="00995AAB">
        <w:rPr>
          <w:lang w:val="en-GB"/>
        </w:rPr>
        <w:fldChar w:fldCharType="separate"/>
      </w:r>
      <w:r w:rsidR="00F64722">
        <w:rPr>
          <w:noProof/>
          <w:lang w:val="en-GB"/>
        </w:rPr>
        <w:t>14</w:t>
      </w:r>
      <w:r w:rsidR="00715BCD" w:rsidRPr="00995AAB">
        <w:rPr>
          <w:lang w:val="en-GB"/>
        </w:rPr>
        <w:fldChar w:fldCharType="end"/>
      </w:r>
      <w:bookmarkEnd w:id="34"/>
      <w:r w:rsidRPr="00995AAB">
        <w:rPr>
          <w:lang w:val="en-GB"/>
        </w:rPr>
        <w:t>: Derivative Scenario - Buy-Side uses Sell-Side to access Trading Venue Liquidity</w:t>
      </w:r>
    </w:p>
    <w:p w14:paraId="76A50B57" w14:textId="6365BD08" w:rsidR="00A950F5" w:rsidRPr="00995AAB" w:rsidRDefault="00A950F5" w:rsidP="00A950F5">
      <w:pPr>
        <w:rPr>
          <w:lang w:val="en-GB"/>
        </w:rPr>
      </w:pPr>
      <w:r w:rsidRPr="00995AAB">
        <w:rPr>
          <w:lang w:val="en-GB"/>
        </w:rPr>
        <w:t>The second derivative scenario in</w:t>
      </w:r>
      <w:r w:rsidR="002C6943" w:rsidRPr="00995AAB">
        <w:rPr>
          <w:lang w:val="en-GB"/>
        </w:rPr>
        <w:t xml:space="preserve"> </w:t>
      </w:r>
      <w:r w:rsidR="00380B5E">
        <w:rPr>
          <w:lang w:val="en-GB"/>
        </w:rPr>
        <w:fldChar w:fldCharType="begin"/>
      </w:r>
      <w:r w:rsidR="00380B5E">
        <w:rPr>
          <w:lang w:val="en-GB"/>
        </w:rPr>
        <w:instrText xml:space="preserve"> REF _Ref491419207 \h </w:instrText>
      </w:r>
      <w:r w:rsidR="00380B5E">
        <w:rPr>
          <w:lang w:val="en-GB"/>
        </w:rPr>
      </w:r>
      <w:r w:rsidR="00380B5E">
        <w:rPr>
          <w:lang w:val="en-GB"/>
        </w:rPr>
        <w:fldChar w:fldCharType="separate"/>
      </w:r>
      <w:r w:rsidR="00F64722" w:rsidRPr="00995AAB">
        <w:rPr>
          <w:lang w:val="en-GB"/>
        </w:rPr>
        <w:t xml:space="preserve">Figure </w:t>
      </w:r>
      <w:r w:rsidR="00F64722">
        <w:rPr>
          <w:noProof/>
          <w:lang w:val="en-GB"/>
        </w:rPr>
        <w:t>14</w:t>
      </w:r>
      <w:r w:rsidR="00380B5E">
        <w:rPr>
          <w:lang w:val="en-GB"/>
        </w:rPr>
        <w:fldChar w:fldCharType="end"/>
      </w:r>
      <w:r w:rsidRPr="00995AAB">
        <w:rPr>
          <w:lang w:val="en-GB"/>
        </w:rPr>
        <w:t>, represents the situation where the Buy</w:t>
      </w:r>
      <w:r w:rsidR="004E1B41" w:rsidRPr="00995AAB">
        <w:rPr>
          <w:lang w:val="en-GB"/>
        </w:rPr>
        <w:t>-Side firm uses</w:t>
      </w:r>
      <w:r w:rsidRPr="00995AAB">
        <w:rPr>
          <w:lang w:val="en-GB"/>
        </w:rPr>
        <w:t xml:space="preserve"> the Sell-Side firm to get access to liquidity </w:t>
      </w:r>
      <w:r w:rsidR="004E1B41" w:rsidRPr="00995AAB">
        <w:rPr>
          <w:lang w:val="en-GB"/>
        </w:rPr>
        <w:t>either on a Regulated Market (RM) or Multilateral Trading Facility (MTF). The Sell-Side firm, takes the client order and places it on the RM/MTF on their behalf</w:t>
      </w:r>
      <w:r w:rsidRPr="00995AAB">
        <w:rPr>
          <w:lang w:val="en-GB"/>
        </w:rPr>
        <w:t>.</w:t>
      </w:r>
    </w:p>
    <w:p w14:paraId="34B10ECE" w14:textId="77777777" w:rsidR="00D60051" w:rsidRPr="00D36038" w:rsidRDefault="00D60051" w:rsidP="00A9410B">
      <w:pPr>
        <w:pStyle w:val="ListParagraph"/>
        <w:numPr>
          <w:ilvl w:val="0"/>
          <w:numId w:val="9"/>
        </w:numPr>
        <w:rPr>
          <w:rFonts w:cs="Arial"/>
          <w:szCs w:val="20"/>
          <w:lang w:val="en-GB"/>
        </w:rPr>
      </w:pPr>
      <w:r w:rsidRPr="00D36038">
        <w:rPr>
          <w:b/>
          <w:lang w:val="en-GB"/>
        </w:rPr>
        <w:t>The Buy-Side</w:t>
      </w:r>
      <w:r w:rsidRPr="00D36038">
        <w:rPr>
          <w:lang w:val="en-GB"/>
        </w:rPr>
        <w:t xml:space="preserve"> </w:t>
      </w:r>
      <w:r>
        <w:rPr>
          <w:lang w:val="en-GB"/>
        </w:rPr>
        <w:t>transmitting an order must produce a report under Article 65.6</w:t>
      </w:r>
      <w:r w:rsidRPr="00D36038">
        <w:rPr>
          <w:lang w:val="en-GB"/>
        </w:rPr>
        <w:t xml:space="preserve"> identifying the Sell-Side Firm as one of the Top 5 </w:t>
      </w:r>
      <w:r>
        <w:rPr>
          <w:rFonts w:cs="Arial"/>
          <w:szCs w:val="20"/>
          <w:lang w:val="en-GB"/>
        </w:rPr>
        <w:t>brokers</w:t>
      </w:r>
      <w:r w:rsidRPr="007A2D2F">
        <w:rPr>
          <w:rFonts w:cs="Arial"/>
          <w:szCs w:val="20"/>
          <w:lang w:val="en-GB"/>
        </w:rPr>
        <w:t xml:space="preserve"> in terms of trading volumes where it transmitted orders to </w:t>
      </w:r>
      <w:r>
        <w:rPr>
          <w:rFonts w:cs="Arial"/>
          <w:szCs w:val="20"/>
          <w:lang w:val="en-GB"/>
        </w:rPr>
        <w:t xml:space="preserve">(if it qualifies) </w:t>
      </w:r>
      <w:r w:rsidRPr="007A2D2F">
        <w:rPr>
          <w:rFonts w:cs="Arial"/>
          <w:szCs w:val="20"/>
          <w:lang w:val="en-GB"/>
        </w:rPr>
        <w:t>and this should be consistent with the information published under RTS 28</w:t>
      </w:r>
    </w:p>
    <w:p w14:paraId="0791B49B" w14:textId="77777777" w:rsidR="00D60051" w:rsidRPr="00D36038" w:rsidRDefault="00D60051" w:rsidP="00A9410B">
      <w:pPr>
        <w:pStyle w:val="ListParagraph"/>
        <w:numPr>
          <w:ilvl w:val="0"/>
          <w:numId w:val="9"/>
        </w:numPr>
        <w:rPr>
          <w:lang w:val="en-GB"/>
        </w:rPr>
      </w:pPr>
      <w:r w:rsidRPr="00D36038">
        <w:rPr>
          <w:b/>
          <w:lang w:val="en-GB"/>
        </w:rPr>
        <w:t>The Sell-Side</w:t>
      </w:r>
      <w:r w:rsidRPr="00D36038">
        <w:rPr>
          <w:lang w:val="en-GB"/>
        </w:rPr>
        <w:t xml:space="preserve"> must generate an RTS 28 report, identifying the Trading Venue as one of the Top 5 Execution Venues (if it qualifies).</w:t>
      </w:r>
    </w:p>
    <w:p w14:paraId="7BCA4186" w14:textId="77777777" w:rsidR="00D60051" w:rsidRPr="00D36038" w:rsidRDefault="00D60051" w:rsidP="00A9410B">
      <w:pPr>
        <w:pStyle w:val="ListParagraph"/>
        <w:numPr>
          <w:ilvl w:val="0"/>
          <w:numId w:val="9"/>
        </w:numPr>
        <w:rPr>
          <w:lang w:val="en-GB"/>
        </w:rPr>
      </w:pPr>
      <w:r w:rsidRPr="00D36038">
        <w:rPr>
          <w:b/>
          <w:lang w:val="en-GB"/>
        </w:rPr>
        <w:t>The Trading Venue</w:t>
      </w:r>
      <w:r w:rsidRPr="00D36038">
        <w:rPr>
          <w:lang w:val="en-GB"/>
        </w:rPr>
        <w:t xml:space="preserve"> must generate an RTS 27 report.</w:t>
      </w:r>
    </w:p>
    <w:p w14:paraId="194099C2" w14:textId="77777777" w:rsidR="00D60051" w:rsidRPr="00D36038" w:rsidRDefault="00D60051" w:rsidP="00A9410B">
      <w:pPr>
        <w:pStyle w:val="ListParagraph"/>
        <w:numPr>
          <w:ilvl w:val="0"/>
          <w:numId w:val="9"/>
        </w:numPr>
        <w:rPr>
          <w:lang w:val="en-GB"/>
        </w:rPr>
      </w:pPr>
      <w:r w:rsidRPr="00D36038">
        <w:rPr>
          <w:b/>
          <w:lang w:val="en-GB"/>
        </w:rPr>
        <w:t>In this instance</w:t>
      </w:r>
      <w:r>
        <w:rPr>
          <w:b/>
          <w:lang w:val="en-GB"/>
        </w:rPr>
        <w:t>,</w:t>
      </w:r>
      <w:r w:rsidRPr="00D36038">
        <w:rPr>
          <w:b/>
          <w:lang w:val="en-GB"/>
        </w:rPr>
        <w:t xml:space="preserve"> there is no obligation for the Sell-Side firm to provide an RTS 27 report as the Sell-Side firm does </w:t>
      </w:r>
      <w:r w:rsidR="00FB4021">
        <w:rPr>
          <w:b/>
          <w:lang w:val="en-GB"/>
        </w:rPr>
        <w:t xml:space="preserve">not </w:t>
      </w:r>
      <w:r w:rsidRPr="00D36038">
        <w:rPr>
          <w:b/>
          <w:lang w:val="en-GB"/>
        </w:rPr>
        <w:t xml:space="preserve">provide any of its own liquidity to the buy-side. </w:t>
      </w:r>
    </w:p>
    <w:p w14:paraId="5E57667D" w14:textId="77777777" w:rsidR="006654AD" w:rsidRPr="00995AAB" w:rsidRDefault="006654AD" w:rsidP="00995AAB">
      <w:pPr>
        <w:rPr>
          <w:lang w:val="en-GB"/>
        </w:rPr>
      </w:pPr>
    </w:p>
    <w:p w14:paraId="5A03C065" w14:textId="77777777" w:rsidR="004E1B41" w:rsidRPr="00995AAB" w:rsidRDefault="006654AD" w:rsidP="00995AAB">
      <w:pPr>
        <w:rPr>
          <w:lang w:val="en-GB"/>
        </w:rPr>
      </w:pPr>
      <w:r w:rsidRPr="00995AAB">
        <w:rPr>
          <w:lang w:val="en-GB"/>
        </w:rPr>
        <w:t>This flow is typical for Exchange Traded Derivatives.</w:t>
      </w:r>
    </w:p>
    <w:p w14:paraId="5CF8CD9D" w14:textId="77777777" w:rsidR="00542077" w:rsidRPr="00995AAB" w:rsidRDefault="00542077" w:rsidP="00DB5387">
      <w:pPr>
        <w:rPr>
          <w:lang w:val="en-GB"/>
        </w:rPr>
      </w:pPr>
    </w:p>
    <w:p w14:paraId="4FF4E197" w14:textId="77777777" w:rsidR="00542077" w:rsidRDefault="00962C7D" w:rsidP="00DB5387">
      <w:pPr>
        <w:rPr>
          <w:lang w:val="en-GB"/>
        </w:rPr>
      </w:pPr>
      <w:r>
        <w:rPr>
          <w:noProof/>
        </w:rPr>
        <w:lastRenderedPageBreak/>
        <w:drawing>
          <wp:inline distT="0" distB="0" distL="0" distR="0" wp14:anchorId="55F84836" wp14:editId="30F72FF0">
            <wp:extent cx="5943600" cy="111633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7-01-20 at 08.40.27.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1116330"/>
                    </a:xfrm>
                    <a:prstGeom prst="rect">
                      <a:avLst/>
                    </a:prstGeom>
                  </pic:spPr>
                </pic:pic>
              </a:graphicData>
            </a:graphic>
          </wp:inline>
        </w:drawing>
      </w:r>
    </w:p>
    <w:p w14:paraId="67ED0337" w14:textId="77777777" w:rsidR="00C21565" w:rsidRPr="00995AAB" w:rsidRDefault="00C21565" w:rsidP="00DB5387">
      <w:pPr>
        <w:rPr>
          <w:lang w:val="en-GB"/>
        </w:rPr>
      </w:pPr>
    </w:p>
    <w:p w14:paraId="007F4ABB" w14:textId="5111C7F4" w:rsidR="00542077" w:rsidRPr="00995AAB" w:rsidRDefault="00BF2186" w:rsidP="00995AAB">
      <w:pPr>
        <w:pStyle w:val="Caption"/>
        <w:rPr>
          <w:lang w:val="en-GB"/>
        </w:rPr>
      </w:pPr>
      <w:bookmarkStart w:id="35" w:name="_Ref469466129"/>
      <w:bookmarkStart w:id="36" w:name="_Ref491419186"/>
      <w:r w:rsidRPr="00995AAB">
        <w:rPr>
          <w:lang w:val="en-GB"/>
        </w:rPr>
        <w:t xml:space="preserve">Figure </w:t>
      </w:r>
      <w:bookmarkEnd w:id="35"/>
      <w:r w:rsidR="00715BCD" w:rsidRPr="00995AAB">
        <w:rPr>
          <w:lang w:val="en-GB"/>
        </w:rPr>
        <w:fldChar w:fldCharType="begin"/>
      </w:r>
      <w:r w:rsidR="00715BCD" w:rsidRPr="00995AAB">
        <w:rPr>
          <w:lang w:val="en-GB"/>
        </w:rPr>
        <w:instrText xml:space="preserve"> SEQ Figure \* ARABIC </w:instrText>
      </w:r>
      <w:r w:rsidR="00715BCD" w:rsidRPr="00995AAB">
        <w:rPr>
          <w:lang w:val="en-GB"/>
        </w:rPr>
        <w:fldChar w:fldCharType="separate"/>
      </w:r>
      <w:r w:rsidR="00F64722">
        <w:rPr>
          <w:noProof/>
          <w:lang w:val="en-GB"/>
        </w:rPr>
        <w:t>15</w:t>
      </w:r>
      <w:r w:rsidR="00715BCD" w:rsidRPr="00995AAB">
        <w:rPr>
          <w:lang w:val="en-GB"/>
        </w:rPr>
        <w:fldChar w:fldCharType="end"/>
      </w:r>
      <w:bookmarkEnd w:id="36"/>
      <w:r w:rsidRPr="00995AAB">
        <w:rPr>
          <w:lang w:val="en-GB"/>
        </w:rPr>
        <w:t>: Derivative Scenario - Buy-Side uses D2C Trading Venue to access Sell-Side Liquidity</w:t>
      </w:r>
    </w:p>
    <w:p w14:paraId="2E62987D" w14:textId="6FF7EA74" w:rsidR="004E1B41" w:rsidRPr="00995AAB" w:rsidRDefault="004E1B41" w:rsidP="004E1B41">
      <w:pPr>
        <w:rPr>
          <w:lang w:val="en-GB"/>
        </w:rPr>
      </w:pPr>
      <w:r w:rsidRPr="00995AAB">
        <w:rPr>
          <w:lang w:val="en-GB"/>
        </w:rPr>
        <w:t xml:space="preserve">The third derivative scenario in </w:t>
      </w:r>
      <w:r w:rsidR="00380B5E">
        <w:rPr>
          <w:lang w:val="en-GB"/>
        </w:rPr>
        <w:fldChar w:fldCharType="begin"/>
      </w:r>
      <w:r w:rsidR="00380B5E">
        <w:rPr>
          <w:lang w:val="en-GB"/>
        </w:rPr>
        <w:instrText xml:space="preserve"> REF _Ref491419186 \h </w:instrText>
      </w:r>
      <w:r w:rsidR="00380B5E">
        <w:rPr>
          <w:lang w:val="en-GB"/>
        </w:rPr>
      </w:r>
      <w:r w:rsidR="00380B5E">
        <w:rPr>
          <w:lang w:val="en-GB"/>
        </w:rPr>
        <w:fldChar w:fldCharType="separate"/>
      </w:r>
      <w:r w:rsidR="00F64722" w:rsidRPr="00995AAB">
        <w:rPr>
          <w:lang w:val="en-GB"/>
        </w:rPr>
        <w:t xml:space="preserve">Figure </w:t>
      </w:r>
      <w:r w:rsidR="00F64722">
        <w:rPr>
          <w:noProof/>
          <w:lang w:val="en-GB"/>
        </w:rPr>
        <w:t>15</w:t>
      </w:r>
      <w:r w:rsidR="00380B5E">
        <w:rPr>
          <w:lang w:val="en-GB"/>
        </w:rPr>
        <w:fldChar w:fldCharType="end"/>
      </w:r>
      <w:r w:rsidR="00715BCD" w:rsidRPr="00995AAB">
        <w:rPr>
          <w:lang w:val="en-GB"/>
        </w:rPr>
        <w:t xml:space="preserve"> </w:t>
      </w:r>
      <w:r w:rsidRPr="00995AAB">
        <w:rPr>
          <w:lang w:val="en-GB"/>
        </w:rPr>
        <w:t xml:space="preserve">represents the situation where the Buy-Side firm uses a D2C </w:t>
      </w:r>
      <w:r w:rsidR="007918C5">
        <w:rPr>
          <w:lang w:val="en-GB"/>
        </w:rPr>
        <w:t xml:space="preserve">(Dealer to Client) </w:t>
      </w:r>
      <w:r w:rsidRPr="00995AAB">
        <w:rPr>
          <w:lang w:val="en-GB"/>
        </w:rPr>
        <w:t>Trading Venue to access Sell-Side firm liquidity.</w:t>
      </w:r>
    </w:p>
    <w:p w14:paraId="1780C1DD" w14:textId="77777777" w:rsidR="004E1B41" w:rsidRPr="00995AAB" w:rsidRDefault="004E1B41" w:rsidP="004E1B41">
      <w:pPr>
        <w:rPr>
          <w:lang w:val="en-GB"/>
        </w:rPr>
      </w:pPr>
      <w:r w:rsidRPr="00995AAB">
        <w:rPr>
          <w:lang w:val="en-GB"/>
        </w:rPr>
        <w:t>The Buy-Side firm sends an RFQ to the Trading Venue which distributes the request to multiple Sell-Side firms. The Buy-Side executes against the best price on the Trading Venue.</w:t>
      </w:r>
    </w:p>
    <w:p w14:paraId="419A0115" w14:textId="77777777" w:rsidR="004E1B41" w:rsidRPr="00995AAB" w:rsidRDefault="004E1B41" w:rsidP="00A9410B">
      <w:pPr>
        <w:pStyle w:val="ListParagraph"/>
        <w:numPr>
          <w:ilvl w:val="0"/>
          <w:numId w:val="10"/>
        </w:numPr>
        <w:rPr>
          <w:lang w:val="en-GB"/>
        </w:rPr>
      </w:pPr>
      <w:r w:rsidRPr="00995AAB">
        <w:rPr>
          <w:b/>
          <w:lang w:val="en-GB"/>
        </w:rPr>
        <w:t>The Buy-Side</w:t>
      </w:r>
      <w:r w:rsidRPr="00995AAB">
        <w:rPr>
          <w:lang w:val="en-GB"/>
        </w:rPr>
        <w:t xml:space="preserve"> must generate an RTS 28 report, identifying the Trading Venues as one of the Top 5 Execution Venues (if it qualifies).</w:t>
      </w:r>
    </w:p>
    <w:p w14:paraId="4C2850E4" w14:textId="77777777" w:rsidR="004E1B41" w:rsidRPr="00995AAB" w:rsidRDefault="004E1B41" w:rsidP="00A9410B">
      <w:pPr>
        <w:pStyle w:val="ListParagraph"/>
        <w:numPr>
          <w:ilvl w:val="0"/>
          <w:numId w:val="10"/>
        </w:numPr>
        <w:rPr>
          <w:lang w:val="en-GB"/>
        </w:rPr>
      </w:pPr>
      <w:r w:rsidRPr="00995AAB">
        <w:rPr>
          <w:b/>
          <w:lang w:val="en-GB"/>
        </w:rPr>
        <w:t>The Sell-Side 1 Firm</w:t>
      </w:r>
      <w:r w:rsidRPr="00995AAB">
        <w:rPr>
          <w:lang w:val="en-GB"/>
        </w:rPr>
        <w:t xml:space="preserve"> does not include this flow in its RTS 28 report as it is not dealing directly with client orders.</w:t>
      </w:r>
      <w:r w:rsidRPr="00995AAB">
        <w:rPr>
          <w:lang w:val="en-GB"/>
        </w:rPr>
        <w:br/>
        <w:t>As the firm is providing liquidity on the Trading Venue and is not the Execution Venue, the Sell-Side firm does not produce an RTS 27 Report.</w:t>
      </w:r>
    </w:p>
    <w:p w14:paraId="41B41D49" w14:textId="77777777" w:rsidR="004E1B41" w:rsidRPr="00995AAB" w:rsidRDefault="004E1B41" w:rsidP="00A9410B">
      <w:pPr>
        <w:pStyle w:val="ListParagraph"/>
        <w:numPr>
          <w:ilvl w:val="0"/>
          <w:numId w:val="10"/>
        </w:numPr>
        <w:rPr>
          <w:lang w:val="en-GB"/>
        </w:rPr>
      </w:pPr>
      <w:r w:rsidRPr="00995AAB">
        <w:rPr>
          <w:b/>
          <w:lang w:val="en-GB"/>
        </w:rPr>
        <w:t>The Trading Venue</w:t>
      </w:r>
      <w:r w:rsidRPr="00995AAB">
        <w:rPr>
          <w:lang w:val="en-GB"/>
        </w:rPr>
        <w:t xml:space="preserve"> must generate an RTS 27 report.</w:t>
      </w:r>
    </w:p>
    <w:p w14:paraId="35D446EC" w14:textId="77777777" w:rsidR="004E1B41" w:rsidRPr="00995AAB" w:rsidRDefault="004E1B41" w:rsidP="00995AAB">
      <w:pPr>
        <w:rPr>
          <w:lang w:val="en-GB"/>
        </w:rPr>
      </w:pPr>
    </w:p>
    <w:p w14:paraId="2BB19790" w14:textId="77777777" w:rsidR="006654AD" w:rsidRPr="00995AAB" w:rsidRDefault="006654AD" w:rsidP="00995AAB">
      <w:pPr>
        <w:rPr>
          <w:lang w:val="en-GB"/>
        </w:rPr>
      </w:pPr>
      <w:r w:rsidRPr="00995AAB">
        <w:rPr>
          <w:lang w:val="en-GB"/>
        </w:rPr>
        <w:t>This flow is typical for flow FX Derivatives and Fixed Income Derivatives</w:t>
      </w:r>
    </w:p>
    <w:p w14:paraId="57104242" w14:textId="77777777" w:rsidR="002D776A" w:rsidRPr="00995AAB" w:rsidRDefault="002D776A" w:rsidP="00DB5387">
      <w:pPr>
        <w:rPr>
          <w:lang w:val="en-GB"/>
        </w:rPr>
      </w:pPr>
    </w:p>
    <w:p w14:paraId="25CABABD" w14:textId="77777777" w:rsidR="0063666E" w:rsidRDefault="00BE5CA9" w:rsidP="00DB5387">
      <w:pPr>
        <w:rPr>
          <w:lang w:val="en-GB"/>
        </w:rPr>
      </w:pPr>
      <w:r w:rsidRPr="00A7378B">
        <w:rPr>
          <w:noProof/>
        </w:rPr>
        <w:drawing>
          <wp:inline distT="0" distB="0" distL="0" distR="0" wp14:anchorId="15F6C862" wp14:editId="377201F0">
            <wp:extent cx="5943600" cy="114109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7-01-18 at 15.49.09.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1141095"/>
                    </a:xfrm>
                    <a:prstGeom prst="rect">
                      <a:avLst/>
                    </a:prstGeom>
                  </pic:spPr>
                </pic:pic>
              </a:graphicData>
            </a:graphic>
          </wp:inline>
        </w:drawing>
      </w:r>
    </w:p>
    <w:p w14:paraId="6D6AB98D" w14:textId="77777777" w:rsidR="005A1224" w:rsidRPr="00995AAB" w:rsidRDefault="005A1224" w:rsidP="00DB5387">
      <w:pPr>
        <w:rPr>
          <w:lang w:val="en-GB"/>
        </w:rPr>
      </w:pPr>
    </w:p>
    <w:p w14:paraId="325D4EB5" w14:textId="39F5F74C" w:rsidR="0063666E" w:rsidRPr="00995AAB" w:rsidRDefault="002327C9" w:rsidP="00995AAB">
      <w:pPr>
        <w:pStyle w:val="Caption"/>
        <w:rPr>
          <w:lang w:val="en-GB"/>
        </w:rPr>
      </w:pPr>
      <w:bookmarkStart w:id="37" w:name="_Ref473889140"/>
      <w:bookmarkStart w:id="38" w:name="_Ref491419135"/>
      <w:r w:rsidRPr="00995AAB">
        <w:rPr>
          <w:lang w:val="en-GB"/>
        </w:rPr>
        <w:t xml:space="preserve">Figure </w:t>
      </w:r>
      <w:bookmarkEnd w:id="37"/>
      <w:r w:rsidR="00715BCD" w:rsidRPr="00995AAB">
        <w:rPr>
          <w:lang w:val="en-GB"/>
        </w:rPr>
        <w:fldChar w:fldCharType="begin"/>
      </w:r>
      <w:r w:rsidR="00715BCD" w:rsidRPr="00995AAB">
        <w:rPr>
          <w:lang w:val="en-GB"/>
        </w:rPr>
        <w:instrText xml:space="preserve"> SEQ Figure \* ARABIC </w:instrText>
      </w:r>
      <w:r w:rsidR="00715BCD" w:rsidRPr="00995AAB">
        <w:rPr>
          <w:lang w:val="en-GB"/>
        </w:rPr>
        <w:fldChar w:fldCharType="separate"/>
      </w:r>
      <w:r w:rsidR="00F64722">
        <w:rPr>
          <w:noProof/>
          <w:lang w:val="en-GB"/>
        </w:rPr>
        <w:t>16</w:t>
      </w:r>
      <w:r w:rsidR="00715BCD" w:rsidRPr="00995AAB">
        <w:rPr>
          <w:lang w:val="en-GB"/>
        </w:rPr>
        <w:fldChar w:fldCharType="end"/>
      </w:r>
      <w:bookmarkEnd w:id="38"/>
      <w:r w:rsidRPr="00995AAB">
        <w:rPr>
          <w:lang w:val="en-GB"/>
        </w:rPr>
        <w:t>: Derivative Scenari</w:t>
      </w:r>
      <w:r w:rsidR="00BD2C2C" w:rsidRPr="00995AAB">
        <w:rPr>
          <w:lang w:val="en-GB"/>
        </w:rPr>
        <w:t>o</w:t>
      </w:r>
      <w:r w:rsidRPr="00995AAB">
        <w:rPr>
          <w:lang w:val="en-GB"/>
        </w:rPr>
        <w:t xml:space="preserve">: Buy-Side </w:t>
      </w:r>
      <w:r w:rsidR="00913786" w:rsidRPr="00995AAB">
        <w:rPr>
          <w:lang w:val="en-GB"/>
        </w:rPr>
        <w:t xml:space="preserve">negotiates OTC </w:t>
      </w:r>
      <w:r w:rsidR="00BB519B" w:rsidRPr="00995AAB">
        <w:rPr>
          <w:lang w:val="en-GB"/>
        </w:rPr>
        <w:t xml:space="preserve">but </w:t>
      </w:r>
      <w:r w:rsidRPr="00995AAB">
        <w:rPr>
          <w:lang w:val="en-GB"/>
        </w:rPr>
        <w:t>concludes transaction on Trading Venue with Sell-Side</w:t>
      </w:r>
      <w:r w:rsidR="00596F66" w:rsidRPr="00995AAB">
        <w:rPr>
          <w:lang w:val="en-GB"/>
        </w:rPr>
        <w:t xml:space="preserve"> </w:t>
      </w:r>
    </w:p>
    <w:p w14:paraId="40A15297" w14:textId="2DDB2B64" w:rsidR="004E1B41" w:rsidRPr="00995AAB" w:rsidRDefault="004E1B41" w:rsidP="004E1B41">
      <w:pPr>
        <w:rPr>
          <w:lang w:val="en-GB"/>
        </w:rPr>
      </w:pPr>
      <w:r w:rsidRPr="00995AAB">
        <w:rPr>
          <w:lang w:val="en-GB"/>
        </w:rPr>
        <w:t xml:space="preserve">The forth derivative scenario in </w:t>
      </w:r>
      <w:r w:rsidR="00380B5E">
        <w:rPr>
          <w:lang w:val="en-GB"/>
        </w:rPr>
        <w:fldChar w:fldCharType="begin"/>
      </w:r>
      <w:r w:rsidR="00380B5E">
        <w:rPr>
          <w:lang w:val="en-GB"/>
        </w:rPr>
        <w:instrText xml:space="preserve"> REF _Ref491419135 \h </w:instrText>
      </w:r>
      <w:r w:rsidR="00380B5E">
        <w:rPr>
          <w:lang w:val="en-GB"/>
        </w:rPr>
      </w:r>
      <w:r w:rsidR="00380B5E">
        <w:rPr>
          <w:lang w:val="en-GB"/>
        </w:rPr>
        <w:fldChar w:fldCharType="separate"/>
      </w:r>
      <w:r w:rsidR="00F64722" w:rsidRPr="00995AAB">
        <w:rPr>
          <w:lang w:val="en-GB"/>
        </w:rPr>
        <w:t xml:space="preserve">Figure </w:t>
      </w:r>
      <w:r w:rsidR="00F64722">
        <w:rPr>
          <w:noProof/>
          <w:lang w:val="en-GB"/>
        </w:rPr>
        <w:t>16</w:t>
      </w:r>
      <w:r w:rsidR="00380B5E">
        <w:rPr>
          <w:lang w:val="en-GB"/>
        </w:rPr>
        <w:fldChar w:fldCharType="end"/>
      </w:r>
      <w:r w:rsidR="00715BCD" w:rsidRPr="00995AAB">
        <w:rPr>
          <w:lang w:val="en-GB"/>
        </w:rPr>
        <w:t xml:space="preserve"> </w:t>
      </w:r>
      <w:r w:rsidRPr="00995AAB">
        <w:rPr>
          <w:lang w:val="en-GB"/>
        </w:rPr>
        <w:t xml:space="preserve">represents the situation where the Buy-Side </w:t>
      </w:r>
      <w:r w:rsidR="006654AD" w:rsidRPr="00995AAB">
        <w:rPr>
          <w:lang w:val="en-GB"/>
        </w:rPr>
        <w:t>negotiates with a Sell-Side firm bilaterally but the trade is executed on the Trading Venue (under the rules of the exchange but off the order-book)</w:t>
      </w:r>
      <w:r w:rsidRPr="00995AAB">
        <w:rPr>
          <w:lang w:val="en-GB"/>
        </w:rPr>
        <w:t>.</w:t>
      </w:r>
    </w:p>
    <w:p w14:paraId="07EA46B9" w14:textId="77777777" w:rsidR="004E1B41" w:rsidRPr="00995AAB" w:rsidRDefault="004E1B41" w:rsidP="00A9410B">
      <w:pPr>
        <w:pStyle w:val="ListParagraph"/>
        <w:numPr>
          <w:ilvl w:val="0"/>
          <w:numId w:val="10"/>
        </w:numPr>
        <w:rPr>
          <w:lang w:val="en-GB"/>
        </w:rPr>
      </w:pPr>
      <w:r w:rsidRPr="00995AAB">
        <w:rPr>
          <w:b/>
          <w:lang w:val="en-GB"/>
        </w:rPr>
        <w:t>The Buy-Side</w:t>
      </w:r>
      <w:r w:rsidRPr="00995AAB">
        <w:rPr>
          <w:lang w:val="en-GB"/>
        </w:rPr>
        <w:t xml:space="preserve"> must generate an RTS 28 report, identifying the Trading Venues as one of the Top 5 Execution Venues (if it qualifies).</w:t>
      </w:r>
    </w:p>
    <w:p w14:paraId="41A7CED8" w14:textId="77777777" w:rsidR="006654AD" w:rsidRPr="00995AAB" w:rsidRDefault="004E1B41" w:rsidP="00A9410B">
      <w:pPr>
        <w:pStyle w:val="ListParagraph"/>
        <w:numPr>
          <w:ilvl w:val="0"/>
          <w:numId w:val="10"/>
        </w:numPr>
        <w:rPr>
          <w:lang w:val="en-GB"/>
        </w:rPr>
      </w:pPr>
      <w:r w:rsidRPr="00995AAB">
        <w:rPr>
          <w:b/>
          <w:lang w:val="en-GB"/>
        </w:rPr>
        <w:t>The Sell-Side 1 Firm</w:t>
      </w:r>
      <w:r w:rsidRPr="00995AAB">
        <w:rPr>
          <w:lang w:val="en-GB"/>
        </w:rPr>
        <w:t xml:space="preserve"> does not include this flow in its RTS 28 report as it is not dealing directly with client orders.</w:t>
      </w:r>
      <w:r w:rsidRPr="00995AAB">
        <w:rPr>
          <w:lang w:val="en-GB"/>
        </w:rPr>
        <w:br/>
        <w:t xml:space="preserve">As the firm is </w:t>
      </w:r>
      <w:r w:rsidR="00F36289" w:rsidRPr="00995AAB">
        <w:rPr>
          <w:lang w:val="en-GB"/>
        </w:rPr>
        <w:t xml:space="preserve">effectively </w:t>
      </w:r>
      <w:r w:rsidRPr="00995AAB">
        <w:rPr>
          <w:lang w:val="en-GB"/>
        </w:rPr>
        <w:t xml:space="preserve">providing liquidity on the Trading Venue and </w:t>
      </w:r>
      <w:r w:rsidRPr="00995AAB">
        <w:rPr>
          <w:b/>
          <w:lang w:val="en-GB"/>
        </w:rPr>
        <w:t>is not the Execution Venue</w:t>
      </w:r>
      <w:r w:rsidRPr="00995AAB">
        <w:rPr>
          <w:lang w:val="en-GB"/>
        </w:rPr>
        <w:t>, the Se</w:t>
      </w:r>
      <w:r w:rsidR="003A7BB9" w:rsidRPr="00995AAB">
        <w:rPr>
          <w:lang w:val="en-GB"/>
        </w:rPr>
        <w:t>ll-Side firm does not include this data in its</w:t>
      </w:r>
      <w:r w:rsidRPr="00995AAB">
        <w:rPr>
          <w:lang w:val="en-GB"/>
        </w:rPr>
        <w:t xml:space="preserve"> RTS 27 Report.</w:t>
      </w:r>
    </w:p>
    <w:p w14:paraId="5DB711AE" w14:textId="77777777" w:rsidR="004E1B41" w:rsidRPr="00995AAB" w:rsidRDefault="004E1B41" w:rsidP="00A9410B">
      <w:pPr>
        <w:pStyle w:val="ListParagraph"/>
        <w:numPr>
          <w:ilvl w:val="0"/>
          <w:numId w:val="10"/>
        </w:numPr>
        <w:rPr>
          <w:lang w:val="en-GB"/>
        </w:rPr>
      </w:pPr>
      <w:r w:rsidRPr="00995AAB">
        <w:rPr>
          <w:b/>
          <w:lang w:val="en-GB"/>
        </w:rPr>
        <w:t>The Trading Venue</w:t>
      </w:r>
      <w:r w:rsidRPr="00995AAB">
        <w:rPr>
          <w:lang w:val="en-GB"/>
        </w:rPr>
        <w:t xml:space="preserve"> must generate an RTS 27 report.</w:t>
      </w:r>
    </w:p>
    <w:p w14:paraId="532E188D" w14:textId="77777777" w:rsidR="003A7BB9" w:rsidRPr="00995AAB" w:rsidRDefault="003A7BB9">
      <w:pPr>
        <w:rPr>
          <w:lang w:val="en-GB"/>
        </w:rPr>
      </w:pPr>
    </w:p>
    <w:p w14:paraId="2A70B8FC" w14:textId="77777777" w:rsidR="003A7BB9" w:rsidRDefault="003A7BB9">
      <w:pPr>
        <w:rPr>
          <w:lang w:val="en-GB"/>
        </w:rPr>
      </w:pPr>
      <w:r w:rsidRPr="00995AAB">
        <w:rPr>
          <w:lang w:val="en-GB"/>
        </w:rPr>
        <w:t>This flow is typical of vanilla Equity Derivatives.</w:t>
      </w:r>
    </w:p>
    <w:p w14:paraId="41755445" w14:textId="77777777" w:rsidR="00E63C57" w:rsidRDefault="00E63C57">
      <w:pPr>
        <w:rPr>
          <w:lang w:val="en-GB"/>
        </w:rPr>
      </w:pPr>
    </w:p>
    <w:p w14:paraId="4D2EA1CC" w14:textId="77777777" w:rsidR="00E63C57" w:rsidRDefault="00E63C57">
      <w:pPr>
        <w:rPr>
          <w:lang w:val="en-GB"/>
        </w:rPr>
      </w:pPr>
    </w:p>
    <w:p w14:paraId="1101FAEF" w14:textId="77777777" w:rsidR="00E63C57" w:rsidRPr="00995AAB" w:rsidRDefault="00E63C57">
      <w:pPr>
        <w:rPr>
          <w:lang w:val="en-GB"/>
        </w:rPr>
      </w:pPr>
    </w:p>
    <w:p w14:paraId="09F08584" w14:textId="6B3EC169" w:rsidR="00C21565" w:rsidRPr="00113E05" w:rsidRDefault="000356C7" w:rsidP="00E63C57">
      <w:pPr>
        <w:rPr>
          <w:lang w:val="en-GB"/>
        </w:rPr>
      </w:pPr>
      <w:r w:rsidRPr="000356C7">
        <w:rPr>
          <w:noProof/>
        </w:rPr>
        <w:lastRenderedPageBreak/>
        <w:drawing>
          <wp:inline distT="0" distB="0" distL="0" distR="0" wp14:anchorId="3D8B0AB9" wp14:editId="19A7022B">
            <wp:extent cx="5943600" cy="11226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1122680"/>
                    </a:xfrm>
                    <a:prstGeom prst="rect">
                      <a:avLst/>
                    </a:prstGeom>
                  </pic:spPr>
                </pic:pic>
              </a:graphicData>
            </a:graphic>
          </wp:inline>
        </w:drawing>
      </w:r>
    </w:p>
    <w:p w14:paraId="07A0206E" w14:textId="77777777" w:rsidR="00E63C57" w:rsidRDefault="00E63C57" w:rsidP="00E63C57">
      <w:pPr>
        <w:rPr>
          <w:lang w:val="en-GB"/>
        </w:rPr>
      </w:pPr>
    </w:p>
    <w:p w14:paraId="2508D103" w14:textId="4C1C5A7E" w:rsidR="00E63C57" w:rsidRPr="00113E05" w:rsidRDefault="00E63C57" w:rsidP="00E63C57">
      <w:pPr>
        <w:pStyle w:val="Caption"/>
        <w:rPr>
          <w:lang w:val="en-GB"/>
        </w:rPr>
      </w:pPr>
      <w:bookmarkStart w:id="39" w:name="_Ref475878317"/>
      <w:bookmarkStart w:id="40" w:name="_Ref491419110"/>
      <w:r w:rsidRPr="00113E05">
        <w:rPr>
          <w:lang w:val="en-GB"/>
        </w:rPr>
        <w:t xml:space="preserve">Figure </w:t>
      </w:r>
      <w:bookmarkEnd w:id="39"/>
      <w:r w:rsidR="00715BCD" w:rsidRPr="00113E05">
        <w:rPr>
          <w:lang w:val="en-GB"/>
        </w:rPr>
        <w:fldChar w:fldCharType="begin"/>
      </w:r>
      <w:r w:rsidR="00715BCD" w:rsidRPr="00113E05">
        <w:rPr>
          <w:lang w:val="en-GB"/>
        </w:rPr>
        <w:instrText xml:space="preserve"> SEQ Figure \* ARABIC </w:instrText>
      </w:r>
      <w:r w:rsidR="00715BCD" w:rsidRPr="00113E05">
        <w:rPr>
          <w:lang w:val="en-GB"/>
        </w:rPr>
        <w:fldChar w:fldCharType="separate"/>
      </w:r>
      <w:r w:rsidR="00F64722">
        <w:rPr>
          <w:noProof/>
          <w:lang w:val="en-GB"/>
        </w:rPr>
        <w:t>17</w:t>
      </w:r>
      <w:r w:rsidR="00715BCD" w:rsidRPr="00113E05">
        <w:rPr>
          <w:lang w:val="en-GB"/>
        </w:rPr>
        <w:fldChar w:fldCharType="end"/>
      </w:r>
      <w:bookmarkEnd w:id="40"/>
      <w:r>
        <w:rPr>
          <w:lang w:val="en-GB"/>
        </w:rPr>
        <w:t>: Derivative</w:t>
      </w:r>
      <w:r w:rsidRPr="00113E05">
        <w:rPr>
          <w:lang w:val="en-GB"/>
        </w:rPr>
        <w:t xml:space="preserve"> Scenario - </w:t>
      </w:r>
      <w:r>
        <w:rPr>
          <w:lang w:val="en-GB"/>
        </w:rPr>
        <w:t>Buy-Side uses Sell-Side DEA</w:t>
      </w:r>
      <w:r w:rsidRPr="00113E05">
        <w:rPr>
          <w:lang w:val="en-GB"/>
        </w:rPr>
        <w:t xml:space="preserve"> </w:t>
      </w:r>
      <w:r>
        <w:rPr>
          <w:lang w:val="en-GB"/>
        </w:rPr>
        <w:t xml:space="preserve">to access </w:t>
      </w:r>
      <w:r w:rsidRPr="00113E05">
        <w:rPr>
          <w:lang w:val="en-GB"/>
        </w:rPr>
        <w:t>Trading Ven</w:t>
      </w:r>
      <w:r>
        <w:rPr>
          <w:lang w:val="en-GB"/>
        </w:rPr>
        <w:t>ue</w:t>
      </w:r>
    </w:p>
    <w:p w14:paraId="5E472AA4" w14:textId="0E969555" w:rsidR="00E63C57" w:rsidRPr="00113E05" w:rsidRDefault="00E63C57" w:rsidP="00E63C57">
      <w:pPr>
        <w:rPr>
          <w:lang w:val="en-GB"/>
        </w:rPr>
      </w:pPr>
      <w:r>
        <w:rPr>
          <w:lang w:val="en-GB"/>
        </w:rPr>
        <w:t>The final derivative</w:t>
      </w:r>
      <w:r w:rsidRPr="00113E05">
        <w:rPr>
          <w:lang w:val="en-GB"/>
        </w:rPr>
        <w:t xml:space="preserve"> scenario in </w:t>
      </w:r>
      <w:r w:rsidR="00380B5E">
        <w:rPr>
          <w:lang w:val="en-GB"/>
        </w:rPr>
        <w:fldChar w:fldCharType="begin"/>
      </w:r>
      <w:r w:rsidR="00380B5E">
        <w:rPr>
          <w:lang w:val="en-GB"/>
        </w:rPr>
        <w:instrText xml:space="preserve"> REF _Ref491419110 \h </w:instrText>
      </w:r>
      <w:r w:rsidR="00380B5E">
        <w:rPr>
          <w:lang w:val="en-GB"/>
        </w:rPr>
      </w:r>
      <w:r w:rsidR="00380B5E">
        <w:rPr>
          <w:lang w:val="en-GB"/>
        </w:rPr>
        <w:fldChar w:fldCharType="separate"/>
      </w:r>
      <w:r w:rsidR="00F64722" w:rsidRPr="00113E05">
        <w:rPr>
          <w:lang w:val="en-GB"/>
        </w:rPr>
        <w:t xml:space="preserve">Figure </w:t>
      </w:r>
      <w:r w:rsidR="00F64722">
        <w:rPr>
          <w:noProof/>
          <w:lang w:val="en-GB"/>
        </w:rPr>
        <w:t>17</w:t>
      </w:r>
      <w:r w:rsidR="00380B5E">
        <w:rPr>
          <w:lang w:val="en-GB"/>
        </w:rPr>
        <w:fldChar w:fldCharType="end"/>
      </w:r>
      <w:r w:rsidR="00715BCD">
        <w:rPr>
          <w:lang w:val="en-GB"/>
        </w:rPr>
        <w:t xml:space="preserve"> </w:t>
      </w:r>
      <w:r w:rsidRPr="00113E05">
        <w:rPr>
          <w:lang w:val="en-GB"/>
        </w:rPr>
        <w:t>represents the situatio</w:t>
      </w:r>
      <w:r>
        <w:rPr>
          <w:lang w:val="en-GB"/>
        </w:rPr>
        <w:t>n where the Buy-Side firm uses</w:t>
      </w:r>
      <w:r w:rsidRPr="00113E05">
        <w:rPr>
          <w:lang w:val="en-GB"/>
        </w:rPr>
        <w:t xml:space="preserve"> </w:t>
      </w:r>
      <w:r>
        <w:rPr>
          <w:lang w:val="en-GB"/>
        </w:rPr>
        <w:t>Direct Electronic Access to the Trading Venue provided by the Sell-Side Firm</w:t>
      </w:r>
      <w:r w:rsidRPr="00113E05">
        <w:rPr>
          <w:lang w:val="en-GB"/>
        </w:rPr>
        <w:t>.</w:t>
      </w:r>
    </w:p>
    <w:p w14:paraId="6B3BCB83" w14:textId="30A1DC11" w:rsidR="00E63C57" w:rsidRPr="00113E05" w:rsidRDefault="00E63C57" w:rsidP="00A9410B">
      <w:pPr>
        <w:pStyle w:val="ListParagraph"/>
        <w:numPr>
          <w:ilvl w:val="0"/>
          <w:numId w:val="10"/>
        </w:numPr>
        <w:rPr>
          <w:lang w:val="en-GB"/>
        </w:rPr>
      </w:pPr>
      <w:r w:rsidRPr="00113E05">
        <w:rPr>
          <w:b/>
          <w:lang w:val="en-GB"/>
        </w:rPr>
        <w:t>The Buy-Side</w:t>
      </w:r>
      <w:r w:rsidRPr="00113E05">
        <w:rPr>
          <w:lang w:val="en-GB"/>
        </w:rPr>
        <w:t xml:space="preserve"> </w:t>
      </w:r>
      <w:r w:rsidR="000356C7" w:rsidRPr="00113E05">
        <w:rPr>
          <w:lang w:val="en-GB"/>
        </w:rPr>
        <w:t>must generate a</w:t>
      </w:r>
      <w:r w:rsidR="000356C7">
        <w:rPr>
          <w:lang w:val="en-GB"/>
        </w:rPr>
        <w:t xml:space="preserve"> report under Article 65.6 identifying the firm that has provided  DEA access and an RTS 28 report </w:t>
      </w:r>
      <w:r w:rsidR="000356C7" w:rsidRPr="00B75C88">
        <w:rPr>
          <w:lang w:val="en-GB"/>
        </w:rPr>
        <w:t>report, identifying the relevant venue as one of their Top 5 Execution Ven</w:t>
      </w:r>
      <w:r w:rsidR="000356C7">
        <w:rPr>
          <w:lang w:val="en-GB"/>
        </w:rPr>
        <w:t>ues (if it qualifies)</w:t>
      </w:r>
      <w:r w:rsidR="007C5B81" w:rsidRPr="00B75C88">
        <w:rPr>
          <w:lang w:val="en-GB"/>
        </w:rPr>
        <w:t>.</w:t>
      </w:r>
    </w:p>
    <w:p w14:paraId="6FFB5D0B" w14:textId="7AD0080A" w:rsidR="00E63C57" w:rsidRDefault="00E63C57" w:rsidP="00A9410B">
      <w:pPr>
        <w:pStyle w:val="ListParagraph"/>
        <w:numPr>
          <w:ilvl w:val="0"/>
          <w:numId w:val="10"/>
        </w:numPr>
        <w:rPr>
          <w:lang w:val="en-GB"/>
        </w:rPr>
      </w:pPr>
      <w:r>
        <w:rPr>
          <w:b/>
          <w:lang w:val="en-GB"/>
        </w:rPr>
        <w:t xml:space="preserve">The Sell-Side </w:t>
      </w:r>
      <w:r w:rsidRPr="00113E05">
        <w:rPr>
          <w:b/>
          <w:lang w:val="en-GB"/>
        </w:rPr>
        <w:t>Firm</w:t>
      </w:r>
      <w:r w:rsidRPr="00113E05">
        <w:rPr>
          <w:lang w:val="en-GB"/>
        </w:rPr>
        <w:t xml:space="preserve"> </w:t>
      </w:r>
      <w:r w:rsidR="007C5B81" w:rsidRPr="00B75C88">
        <w:rPr>
          <w:lang w:val="en-GB"/>
        </w:rPr>
        <w:t>completes an RTS 28 report, identifying the relevant venue as one of their Top 5 Execution Venues (if it qualifies) including this in its % of directed orders.</w:t>
      </w:r>
    </w:p>
    <w:p w14:paraId="192D63F6" w14:textId="77777777" w:rsidR="00E63C57" w:rsidRPr="00995AAB" w:rsidRDefault="00E63C57" w:rsidP="00A9410B">
      <w:pPr>
        <w:pStyle w:val="ListParagraph"/>
        <w:numPr>
          <w:ilvl w:val="0"/>
          <w:numId w:val="10"/>
        </w:numPr>
        <w:rPr>
          <w:lang w:val="en-GB"/>
        </w:rPr>
      </w:pPr>
      <w:r w:rsidRPr="00995AAB">
        <w:rPr>
          <w:b/>
          <w:lang w:val="en-GB"/>
        </w:rPr>
        <w:t>The Trading Venue</w:t>
      </w:r>
      <w:r w:rsidRPr="00E63C57">
        <w:rPr>
          <w:lang w:val="en-GB"/>
        </w:rPr>
        <w:t xml:space="preserve"> must generate an RTS 27 report.</w:t>
      </w:r>
    </w:p>
    <w:p w14:paraId="7D609CAB" w14:textId="77777777" w:rsidR="0063666E" w:rsidRPr="00995AAB" w:rsidRDefault="0063666E">
      <w:pPr>
        <w:rPr>
          <w:lang w:val="en-GB"/>
        </w:rPr>
      </w:pPr>
      <w:r w:rsidRPr="00995AAB">
        <w:rPr>
          <w:lang w:val="en-GB"/>
        </w:rPr>
        <w:br w:type="page"/>
      </w:r>
    </w:p>
    <w:p w14:paraId="5D88AB12" w14:textId="77777777" w:rsidR="00A70206" w:rsidRPr="00995AAB" w:rsidRDefault="00A70206" w:rsidP="00A70206">
      <w:pPr>
        <w:pStyle w:val="Heading1"/>
        <w:rPr>
          <w:lang w:val="en-GB"/>
        </w:rPr>
      </w:pPr>
      <w:bookmarkStart w:id="41" w:name="_Toc495562555"/>
      <w:r w:rsidRPr="00995AAB">
        <w:rPr>
          <w:lang w:val="en-GB"/>
        </w:rPr>
        <w:lastRenderedPageBreak/>
        <w:t>RTS 27 Reporting Requirements</w:t>
      </w:r>
      <w:bookmarkEnd w:id="41"/>
    </w:p>
    <w:p w14:paraId="5F17BB43" w14:textId="77777777" w:rsidR="00A70206" w:rsidRPr="00995AAB" w:rsidRDefault="00A70206" w:rsidP="00095309">
      <w:pPr>
        <w:pStyle w:val="Heading2"/>
        <w:ind w:left="709"/>
        <w:rPr>
          <w:lang w:val="en-GB"/>
        </w:rPr>
      </w:pPr>
      <w:bookmarkStart w:id="42" w:name="_Toc495562556"/>
      <w:r w:rsidRPr="00995AAB">
        <w:rPr>
          <w:lang w:val="en-GB"/>
        </w:rPr>
        <w:t>Generic Requirements</w:t>
      </w:r>
      <w:bookmarkEnd w:id="42"/>
    </w:p>
    <w:p w14:paraId="2C77DE7F" w14:textId="77777777" w:rsidR="00C57002" w:rsidRPr="00995AAB" w:rsidRDefault="000C0A75" w:rsidP="000C0A75">
      <w:pPr>
        <w:rPr>
          <w:lang w:val="en-GB"/>
        </w:rPr>
      </w:pPr>
      <w:r w:rsidRPr="00995AAB">
        <w:rPr>
          <w:lang w:val="en-GB"/>
        </w:rPr>
        <w:t xml:space="preserve">In order to fully assess the extent of the quality of execution of transactions that take place in the Union, it is appropriate that execution venues which may be selected by investment firms to execute client orders comply with requirements on data to be provided by execution venues in accordance with this Regulation. </w:t>
      </w:r>
    </w:p>
    <w:p w14:paraId="0D9F69DC" w14:textId="77777777" w:rsidR="00095309" w:rsidRPr="00080375" w:rsidRDefault="00095309" w:rsidP="00095309">
      <w:pPr>
        <w:pStyle w:val="Default"/>
      </w:pPr>
    </w:p>
    <w:p w14:paraId="37ACC77B" w14:textId="77777777" w:rsidR="003F664D" w:rsidRDefault="000C0A75">
      <w:pPr>
        <w:rPr>
          <w:lang w:val="en-GB"/>
        </w:rPr>
      </w:pPr>
      <w:r w:rsidRPr="00995AAB">
        <w:rPr>
          <w:lang w:val="en-GB"/>
        </w:rPr>
        <w:t>To this effect, these execution venues should include regulated markets</w:t>
      </w:r>
      <w:r w:rsidR="00C57002" w:rsidRPr="00995AAB">
        <w:rPr>
          <w:lang w:val="en-GB"/>
        </w:rPr>
        <w:t xml:space="preserve"> (RMs)</w:t>
      </w:r>
      <w:r w:rsidRPr="00995AAB">
        <w:rPr>
          <w:lang w:val="en-GB"/>
        </w:rPr>
        <w:t>, multilateral trading facilities</w:t>
      </w:r>
      <w:r w:rsidR="00C57002" w:rsidRPr="00995AAB">
        <w:rPr>
          <w:lang w:val="en-GB"/>
        </w:rPr>
        <w:t xml:space="preserve"> (MTFs)</w:t>
      </w:r>
      <w:r w:rsidRPr="00995AAB">
        <w:rPr>
          <w:lang w:val="en-GB"/>
        </w:rPr>
        <w:t>, organised trading facilities</w:t>
      </w:r>
      <w:r w:rsidR="00C57002" w:rsidRPr="00995AAB">
        <w:rPr>
          <w:lang w:val="en-GB"/>
        </w:rPr>
        <w:t xml:space="preserve"> (OTFs)</w:t>
      </w:r>
      <w:r w:rsidRPr="00995AAB">
        <w:rPr>
          <w:lang w:val="en-GB"/>
        </w:rPr>
        <w:t>, systematic internalisers</w:t>
      </w:r>
      <w:r w:rsidR="00C57002" w:rsidRPr="00995AAB">
        <w:rPr>
          <w:lang w:val="en-GB"/>
        </w:rPr>
        <w:t xml:space="preserve"> (Sis)</w:t>
      </w:r>
      <w:r w:rsidRPr="00995AAB">
        <w:rPr>
          <w:lang w:val="en-GB"/>
        </w:rPr>
        <w:t>, market makers</w:t>
      </w:r>
      <w:r w:rsidR="00C57002" w:rsidRPr="00995AAB">
        <w:rPr>
          <w:lang w:val="en-GB"/>
        </w:rPr>
        <w:t xml:space="preserve"> (MMs)</w:t>
      </w:r>
      <w:r w:rsidRPr="00995AAB">
        <w:rPr>
          <w:lang w:val="en-GB"/>
        </w:rPr>
        <w:t xml:space="preserve"> and other liquidity providers. </w:t>
      </w:r>
    </w:p>
    <w:p w14:paraId="7A6D9A1D" w14:textId="77777777" w:rsidR="000C0A75" w:rsidRPr="00995AAB" w:rsidRDefault="000C0A75" w:rsidP="000C0A75">
      <w:pPr>
        <w:rPr>
          <w:b/>
          <w:bCs/>
          <w:lang w:val="en-GB"/>
        </w:rPr>
      </w:pPr>
    </w:p>
    <w:p w14:paraId="59BE41F8" w14:textId="77777777" w:rsidR="000D74AF" w:rsidRPr="00080375" w:rsidRDefault="000D74AF" w:rsidP="008A2976">
      <w:pPr>
        <w:rPr>
          <w:b/>
          <w:bCs/>
          <w:u w:val="single"/>
          <w:lang w:val="en-GB"/>
        </w:rPr>
      </w:pPr>
      <w:r w:rsidRPr="00080375">
        <w:rPr>
          <w:b/>
          <w:bCs/>
          <w:u w:val="single"/>
          <w:lang w:val="en-GB"/>
        </w:rPr>
        <w:t>Equities</w:t>
      </w:r>
    </w:p>
    <w:p w14:paraId="72F5B59C" w14:textId="77777777" w:rsidR="002F7D28" w:rsidRPr="00080375" w:rsidRDefault="002F7D28" w:rsidP="008A2976">
      <w:pPr>
        <w:rPr>
          <w:b/>
          <w:bCs/>
          <w:u w:val="single"/>
          <w:lang w:val="en-GB"/>
        </w:rPr>
      </w:pPr>
    </w:p>
    <w:p w14:paraId="57451ECD" w14:textId="77777777" w:rsidR="008A2976" w:rsidRDefault="00AC77FA" w:rsidP="008A2976">
      <w:pPr>
        <w:rPr>
          <w:bCs/>
          <w:lang w:val="en-GB"/>
        </w:rPr>
      </w:pPr>
      <w:r w:rsidRPr="00080375">
        <w:rPr>
          <w:bCs/>
          <w:lang w:val="en-GB"/>
        </w:rPr>
        <w:t xml:space="preserve">Article 23 of MiFIR </w:t>
      </w:r>
      <w:r w:rsidR="000D74AF" w:rsidRPr="00080375">
        <w:rPr>
          <w:bCs/>
          <w:lang w:val="en-GB"/>
        </w:rPr>
        <w:t xml:space="preserve">state that </w:t>
      </w:r>
      <w:r w:rsidR="008A2976" w:rsidRPr="00080375">
        <w:rPr>
          <w:bCs/>
          <w:lang w:val="en-GB"/>
        </w:rPr>
        <w:t>“shares admitted to trading on a regulated market or Traded on a trading venue shall take place on a regulated market, MTF or systematic internaliser</w:t>
      </w:r>
      <w:r w:rsidRPr="00080375">
        <w:rPr>
          <w:bCs/>
          <w:lang w:val="en-GB"/>
        </w:rPr>
        <w:t>, or a third-country trading venue assessed as equivalent in accordance with Article 25 (4) (a) of directive 2014/65/EU</w:t>
      </w:r>
      <w:r w:rsidR="008A2976" w:rsidRPr="00080375">
        <w:rPr>
          <w:bCs/>
          <w:lang w:val="en-GB"/>
        </w:rPr>
        <w:t>” MiFID II effectively requires broker crossing networks (BCN) to register either as a systematic Internaliser (SI) or a multilateral trading facility (MTF).</w:t>
      </w:r>
    </w:p>
    <w:p w14:paraId="11BB8581" w14:textId="77777777" w:rsidR="0047476D" w:rsidRDefault="0047476D" w:rsidP="008A2976">
      <w:pPr>
        <w:rPr>
          <w:bCs/>
          <w:lang w:val="en-GB"/>
        </w:rPr>
      </w:pPr>
    </w:p>
    <w:p w14:paraId="61FD4FF9" w14:textId="77777777" w:rsidR="0047476D" w:rsidRPr="00080375" w:rsidRDefault="0047476D" w:rsidP="008A2976">
      <w:pPr>
        <w:rPr>
          <w:bCs/>
          <w:lang w:val="en-GB"/>
        </w:rPr>
      </w:pPr>
      <w:r>
        <w:rPr>
          <w:bCs/>
          <w:lang w:val="en-GB"/>
        </w:rPr>
        <w:t xml:space="preserve">For </w:t>
      </w:r>
      <w:r>
        <w:rPr>
          <w:color w:val="000000"/>
        </w:rPr>
        <w:t>Equities (subject to the trading obligation) the only entities generally to be required to submit an RTS 27 report would be a RM, MTF or SI where those instruments are in the most part traded.</w:t>
      </w:r>
    </w:p>
    <w:p w14:paraId="4DF1E071" w14:textId="77777777" w:rsidR="000C0A75" w:rsidRPr="00080375" w:rsidRDefault="000C0A75" w:rsidP="000C0A75">
      <w:pPr>
        <w:rPr>
          <w:lang w:val="en-GB"/>
        </w:rPr>
      </w:pPr>
    </w:p>
    <w:p w14:paraId="533C38D9" w14:textId="77777777" w:rsidR="000C0A75" w:rsidRPr="00FB35F3" w:rsidRDefault="000C0A75" w:rsidP="000C0A75">
      <w:pPr>
        <w:rPr>
          <w:lang w:val="en-GB"/>
        </w:rPr>
      </w:pPr>
      <w:r w:rsidRPr="00FB35F3">
        <w:rPr>
          <w:lang w:val="en-GB"/>
        </w:rPr>
        <w:t xml:space="preserve">MIC codes should be used for all different levels of market segment to appropriately identify whether the execution was: </w:t>
      </w:r>
    </w:p>
    <w:p w14:paraId="485DC8F4" w14:textId="77777777" w:rsidR="000C0A75" w:rsidRPr="00FB35F3" w:rsidRDefault="000C0A75" w:rsidP="00A9410B">
      <w:pPr>
        <w:pStyle w:val="ListParagraph"/>
        <w:numPr>
          <w:ilvl w:val="0"/>
          <w:numId w:val="5"/>
        </w:numPr>
        <w:rPr>
          <w:lang w:val="en-GB"/>
        </w:rPr>
      </w:pPr>
      <w:r w:rsidRPr="00FB35F3">
        <w:rPr>
          <w:lang w:val="en-GB"/>
        </w:rPr>
        <w:t xml:space="preserve">Exchange Lit or Dark </w:t>
      </w:r>
    </w:p>
    <w:p w14:paraId="50F3169A" w14:textId="04499B0A" w:rsidR="000C0A75" w:rsidRPr="00F842B7" w:rsidRDefault="000C0A75" w:rsidP="00A9410B">
      <w:pPr>
        <w:pStyle w:val="ListParagraph"/>
        <w:numPr>
          <w:ilvl w:val="0"/>
          <w:numId w:val="5"/>
        </w:numPr>
        <w:rPr>
          <w:lang w:val="fr-FR"/>
        </w:rPr>
      </w:pPr>
      <w:r w:rsidRPr="00F842B7">
        <w:rPr>
          <w:lang w:val="fr-FR"/>
        </w:rPr>
        <w:t>Execution venue</w:t>
      </w:r>
      <w:r w:rsidR="008778E8" w:rsidRPr="00F842B7">
        <w:rPr>
          <w:lang w:val="fr-FR"/>
        </w:rPr>
        <w:t xml:space="preserve"> (SI)</w:t>
      </w:r>
      <w:r w:rsidRPr="00F842B7">
        <w:rPr>
          <w:lang w:val="fr-FR"/>
        </w:rPr>
        <w:t xml:space="preserve"> Lit or Dark </w:t>
      </w:r>
    </w:p>
    <w:p w14:paraId="18B6E33F" w14:textId="77777777" w:rsidR="0047476D" w:rsidRPr="00F842B7" w:rsidRDefault="0047476D" w:rsidP="00995AAB">
      <w:pPr>
        <w:rPr>
          <w:lang w:val="fr-FR"/>
        </w:rPr>
      </w:pPr>
    </w:p>
    <w:p w14:paraId="71EC4788" w14:textId="77777777" w:rsidR="008778E8" w:rsidRDefault="0047476D" w:rsidP="00995AAB">
      <w:pPr>
        <w:rPr>
          <w:lang w:val="en-GB"/>
        </w:rPr>
      </w:pPr>
      <w:r w:rsidRPr="00FB35F3">
        <w:rPr>
          <w:lang w:val="en-GB"/>
        </w:rPr>
        <w:t>LEI codes will be used to identify the legal entity of a broker</w:t>
      </w:r>
      <w:r w:rsidR="008778E8">
        <w:rPr>
          <w:lang w:val="en-GB"/>
        </w:rPr>
        <w:t xml:space="preserve"> when trading OTC.</w:t>
      </w:r>
    </w:p>
    <w:p w14:paraId="3B389E6F" w14:textId="1DCDB73C" w:rsidR="000C0A75" w:rsidRPr="0047476D" w:rsidRDefault="000D27E0" w:rsidP="00995AAB">
      <w:pPr>
        <w:rPr>
          <w:lang w:val="en-GB"/>
        </w:rPr>
      </w:pPr>
      <w:r>
        <w:rPr>
          <w:lang w:val="en-GB"/>
        </w:rPr>
        <w:t>It is also assumed that t</w:t>
      </w:r>
      <w:r w:rsidR="008778E8">
        <w:rPr>
          <w:lang w:val="en-GB"/>
        </w:rPr>
        <w:t>he L</w:t>
      </w:r>
      <w:r>
        <w:rPr>
          <w:lang w:val="en-GB"/>
        </w:rPr>
        <w:t xml:space="preserve">EI code will be used in the production of </w:t>
      </w:r>
      <w:r w:rsidR="008778E8">
        <w:rPr>
          <w:lang w:val="en-GB"/>
        </w:rPr>
        <w:t>Article 65.6 reports.</w:t>
      </w:r>
      <w:r w:rsidR="0047476D" w:rsidRPr="00FB35F3">
        <w:rPr>
          <w:lang w:val="en-GB"/>
        </w:rPr>
        <w:t>.</w:t>
      </w:r>
    </w:p>
    <w:p w14:paraId="0622EB29" w14:textId="77777777" w:rsidR="000C0A75" w:rsidRPr="00995AAB" w:rsidRDefault="000C0A75" w:rsidP="000C0A75">
      <w:pPr>
        <w:rPr>
          <w:lang w:val="en-GB"/>
        </w:rPr>
      </w:pPr>
    </w:p>
    <w:p w14:paraId="04A4276A" w14:textId="77777777" w:rsidR="000D74AF" w:rsidRPr="00995AAB" w:rsidRDefault="000D74AF" w:rsidP="000C0A75">
      <w:pPr>
        <w:rPr>
          <w:lang w:val="en-GB"/>
        </w:rPr>
      </w:pPr>
    </w:p>
    <w:p w14:paraId="2888C4BB" w14:textId="77777777" w:rsidR="000D74AF" w:rsidRPr="00995AAB" w:rsidRDefault="000D74AF" w:rsidP="000C0A75">
      <w:pPr>
        <w:rPr>
          <w:b/>
          <w:u w:val="single"/>
          <w:lang w:val="en-GB"/>
        </w:rPr>
      </w:pPr>
      <w:r w:rsidRPr="00995AAB">
        <w:rPr>
          <w:b/>
          <w:u w:val="single"/>
          <w:lang w:val="en-GB"/>
        </w:rPr>
        <w:t>Bonds</w:t>
      </w:r>
    </w:p>
    <w:p w14:paraId="21F00EC1" w14:textId="77777777" w:rsidR="00944BC8" w:rsidRPr="00995AAB" w:rsidRDefault="00944BC8" w:rsidP="000C0A75">
      <w:pPr>
        <w:rPr>
          <w:b/>
          <w:u w:val="single"/>
          <w:lang w:val="en-GB"/>
        </w:rPr>
      </w:pPr>
    </w:p>
    <w:p w14:paraId="1172CD45" w14:textId="77777777" w:rsidR="005B4134" w:rsidRPr="00995AAB" w:rsidRDefault="00080375" w:rsidP="000C0A75">
      <w:pPr>
        <w:rPr>
          <w:lang w:val="en-GB"/>
        </w:rPr>
      </w:pPr>
      <w:r w:rsidRPr="00995AAB">
        <w:rPr>
          <w:lang w:val="en-GB"/>
        </w:rPr>
        <w:t xml:space="preserve">MiFID II/MiFIR does </w:t>
      </w:r>
      <w:r>
        <w:rPr>
          <w:lang w:val="en-GB"/>
        </w:rPr>
        <w:t>not place any restrictions on</w:t>
      </w:r>
      <w:r w:rsidRPr="00995AAB">
        <w:rPr>
          <w:lang w:val="en-GB"/>
        </w:rPr>
        <w:t xml:space="preserve"> how or where cash bonds are traded</w:t>
      </w:r>
      <w:r>
        <w:rPr>
          <w:lang w:val="en-GB"/>
        </w:rPr>
        <w:t xml:space="preserve"> but at the point that</w:t>
      </w:r>
      <w:r w:rsidRPr="00995AAB">
        <w:rPr>
          <w:lang w:val="en-GB"/>
        </w:rPr>
        <w:t xml:space="preserve"> the legislation comes into force, the majority of liquidity is provided by the banks (sell-side) and either traded directly with clients off-venue or traded through Dealer-to-Client multilateral trading facilities (MTF).</w:t>
      </w:r>
    </w:p>
    <w:p w14:paraId="7C398AA8" w14:textId="77777777" w:rsidR="005B4134" w:rsidRPr="00995AAB" w:rsidRDefault="005B4134" w:rsidP="000C0A75">
      <w:pPr>
        <w:rPr>
          <w:lang w:val="en-GB"/>
        </w:rPr>
      </w:pPr>
    </w:p>
    <w:p w14:paraId="468950E2" w14:textId="3E6F0D2C" w:rsidR="00FE7BF8" w:rsidRPr="00995AAB" w:rsidRDefault="005B4134" w:rsidP="000C0A75">
      <w:pPr>
        <w:rPr>
          <w:lang w:val="en-GB"/>
        </w:rPr>
      </w:pPr>
      <w:r w:rsidRPr="00995AAB">
        <w:rPr>
          <w:lang w:val="en-GB"/>
        </w:rPr>
        <w:t xml:space="preserve">This means that a significant number of banks </w:t>
      </w:r>
      <w:r w:rsidR="004D09C5" w:rsidRPr="00995AAB">
        <w:rPr>
          <w:lang w:val="en-GB"/>
        </w:rPr>
        <w:t xml:space="preserve">will become Systematic Internalisers in a number of issues (the number depending on the range of issues regularly being traded off own book) unless these banks choose to </w:t>
      </w:r>
      <w:r w:rsidR="00DB7830">
        <w:rPr>
          <w:lang w:val="en-GB"/>
        </w:rPr>
        <w:t xml:space="preserve">operate an OTF or </w:t>
      </w:r>
      <w:r w:rsidR="004D09C5" w:rsidRPr="00995AAB">
        <w:rPr>
          <w:lang w:val="en-GB"/>
        </w:rPr>
        <w:t>move the majority of their business to be concluded on an MTF.</w:t>
      </w:r>
    </w:p>
    <w:p w14:paraId="1CF0BFB3" w14:textId="77777777" w:rsidR="00FE7BF8" w:rsidRPr="00995AAB" w:rsidRDefault="00FE7BF8" w:rsidP="000C0A75">
      <w:pPr>
        <w:rPr>
          <w:lang w:val="en-GB"/>
        </w:rPr>
      </w:pPr>
    </w:p>
    <w:p w14:paraId="45592727" w14:textId="77FB3663" w:rsidR="00DB7830" w:rsidRPr="00995AAB" w:rsidRDefault="002624EE" w:rsidP="000C0A75">
      <w:pPr>
        <w:rPr>
          <w:lang w:val="en-GB"/>
        </w:rPr>
      </w:pPr>
      <w:r w:rsidRPr="00995AAB">
        <w:rPr>
          <w:lang w:val="en-GB"/>
        </w:rPr>
        <w:t xml:space="preserve">When a bank </w:t>
      </w:r>
      <w:r w:rsidR="00080375" w:rsidRPr="00080375">
        <w:rPr>
          <w:lang w:val="en-GB"/>
        </w:rPr>
        <w:t>offers</w:t>
      </w:r>
      <w:r w:rsidRPr="00995AAB">
        <w:rPr>
          <w:lang w:val="en-GB"/>
        </w:rPr>
        <w:t xml:space="preserve"> a price through an MTF to a client, while the liquidity is offered by a bank, the actual executi</w:t>
      </w:r>
      <w:r w:rsidR="00080375" w:rsidRPr="00995AAB">
        <w:rPr>
          <w:lang w:val="en-GB"/>
        </w:rPr>
        <w:t>o</w:t>
      </w:r>
      <w:r w:rsidRPr="00995AAB">
        <w:rPr>
          <w:lang w:val="en-GB"/>
        </w:rPr>
        <w:t xml:space="preserve">n venue is the MTF and </w:t>
      </w:r>
      <w:r w:rsidR="007F74CB">
        <w:rPr>
          <w:lang w:val="en-GB"/>
        </w:rPr>
        <w:t>current industry</w:t>
      </w:r>
      <w:r w:rsidR="007F74CB" w:rsidRPr="00995AAB">
        <w:rPr>
          <w:lang w:val="en-GB"/>
        </w:rPr>
        <w:t xml:space="preserve"> </w:t>
      </w:r>
      <w:r w:rsidRPr="00995AAB">
        <w:rPr>
          <w:lang w:val="en-GB"/>
        </w:rPr>
        <w:t>consensus is that the bank does not include this RFQ/trading activity in the RTS 27 report.</w:t>
      </w:r>
      <w:r w:rsidR="00DB7830">
        <w:rPr>
          <w:lang w:val="en-GB"/>
        </w:rPr>
        <w:t xml:space="preserve">  However w</w:t>
      </w:r>
      <w:r w:rsidR="00DB7830" w:rsidRPr="00EB6E65">
        <w:rPr>
          <w:rFonts w:cs="Arial"/>
          <w:color w:val="000000"/>
          <w:sz w:val="21"/>
          <w:szCs w:val="21"/>
          <w:lang w:val="en-GB"/>
        </w:rPr>
        <w:t xml:space="preserve">here an investment firm operates an OTF, ESMA is of the view </w:t>
      </w:r>
      <w:r w:rsidR="00DB7830">
        <w:rPr>
          <w:lang w:val="en-GB"/>
        </w:rPr>
        <w:t>e</w:t>
      </w:r>
      <w:r w:rsidR="00DB7830" w:rsidRPr="00EB6E65">
        <w:rPr>
          <w:rFonts w:cs="Arial"/>
          <w:color w:val="000000"/>
          <w:sz w:val="21"/>
          <w:szCs w:val="21"/>
          <w:lang w:val="en-GB"/>
        </w:rPr>
        <w:t xml:space="preserve">quivalent requirements </w:t>
      </w:r>
      <w:r w:rsidR="00DB7830">
        <w:rPr>
          <w:rFonts w:cs="Arial"/>
          <w:color w:val="000000"/>
          <w:sz w:val="21"/>
          <w:szCs w:val="21"/>
          <w:lang w:val="en-GB"/>
        </w:rPr>
        <w:t>apply to the investment firm or the</w:t>
      </w:r>
      <w:r w:rsidR="00DB7830" w:rsidRPr="00EB6E65">
        <w:rPr>
          <w:rFonts w:cs="Arial"/>
          <w:color w:val="000000"/>
          <w:sz w:val="21"/>
          <w:szCs w:val="21"/>
          <w:lang w:val="en-GB"/>
        </w:rPr>
        <w:t xml:space="preserve"> market operator operating an OTF. </w:t>
      </w:r>
    </w:p>
    <w:p w14:paraId="520BF61F" w14:textId="77777777" w:rsidR="002624EE" w:rsidRPr="00995AAB" w:rsidRDefault="002624EE" w:rsidP="000C0A75">
      <w:pPr>
        <w:rPr>
          <w:lang w:val="en-GB"/>
        </w:rPr>
      </w:pPr>
      <w:r w:rsidRPr="00995AAB">
        <w:rPr>
          <w:lang w:val="en-GB"/>
        </w:rPr>
        <w:t xml:space="preserve"> </w:t>
      </w:r>
    </w:p>
    <w:p w14:paraId="2FEDF501" w14:textId="77777777" w:rsidR="00944BC8" w:rsidRPr="00995AAB" w:rsidRDefault="00FE7BF8" w:rsidP="000C0A75">
      <w:pPr>
        <w:rPr>
          <w:lang w:val="en-GB"/>
        </w:rPr>
      </w:pPr>
      <w:r w:rsidRPr="00995AAB">
        <w:rPr>
          <w:lang w:val="en-GB"/>
        </w:rPr>
        <w:t xml:space="preserve">It is noted that some asset managers may provide some liquidity back to the market on an ad-hoc basis but again the consensus is that an RTS 27 report for this activity will not be required. </w:t>
      </w:r>
      <w:r w:rsidR="00147A76" w:rsidRPr="00995AAB">
        <w:rPr>
          <w:lang w:val="en-GB"/>
        </w:rPr>
        <w:t xml:space="preserve"> </w:t>
      </w:r>
    </w:p>
    <w:p w14:paraId="56DCF6DC" w14:textId="77777777" w:rsidR="00944BC8" w:rsidRPr="00995AAB" w:rsidRDefault="00944BC8" w:rsidP="000C0A75">
      <w:pPr>
        <w:rPr>
          <w:b/>
          <w:u w:val="single"/>
          <w:lang w:val="en-GB"/>
        </w:rPr>
      </w:pPr>
    </w:p>
    <w:p w14:paraId="75F74B68" w14:textId="4C0E7A6C" w:rsidR="00944BC8" w:rsidRDefault="00B3682A" w:rsidP="000C0A75">
      <w:pPr>
        <w:rPr>
          <w:lang w:val="en-GB"/>
        </w:rPr>
      </w:pPr>
      <w:r w:rsidRPr="0088504D">
        <w:rPr>
          <w:lang w:val="en-GB"/>
        </w:rPr>
        <w:t xml:space="preserve">SIs </w:t>
      </w:r>
      <w:r w:rsidR="000D27E0">
        <w:rPr>
          <w:lang w:val="en-GB"/>
        </w:rPr>
        <w:t>are anticipated</w:t>
      </w:r>
      <w:r w:rsidRPr="0088504D">
        <w:rPr>
          <w:lang w:val="en-GB"/>
        </w:rPr>
        <w:t xml:space="preserve"> to apply for a MIC in order to correctly complete the </w:t>
      </w:r>
      <w:r w:rsidR="00CA0D3A" w:rsidRPr="0088504D">
        <w:rPr>
          <w:lang w:val="en-GB"/>
        </w:rPr>
        <w:t>associated reports</w:t>
      </w:r>
      <w:r w:rsidR="000D27E0">
        <w:rPr>
          <w:lang w:val="en-GB"/>
        </w:rPr>
        <w:t xml:space="preserve"> which may mean the production of multiple MICs per individual broker</w:t>
      </w:r>
      <w:r w:rsidR="007F74CB">
        <w:rPr>
          <w:lang w:val="en-GB"/>
        </w:rPr>
        <w:t>.</w:t>
      </w:r>
    </w:p>
    <w:p w14:paraId="3AB82B99" w14:textId="77777777" w:rsidR="00655FD7" w:rsidRPr="00995AAB" w:rsidRDefault="00655FD7" w:rsidP="000C0A75">
      <w:pPr>
        <w:rPr>
          <w:lang w:val="en-GB"/>
        </w:rPr>
      </w:pPr>
    </w:p>
    <w:p w14:paraId="2B14CDCB" w14:textId="77777777" w:rsidR="000D74AF" w:rsidRPr="00995AAB" w:rsidRDefault="000D74AF" w:rsidP="000C0A75">
      <w:pPr>
        <w:rPr>
          <w:b/>
          <w:u w:val="single"/>
          <w:lang w:val="en-GB"/>
        </w:rPr>
      </w:pPr>
    </w:p>
    <w:p w14:paraId="040CFD1B" w14:textId="77777777" w:rsidR="000D74AF" w:rsidRPr="00995AAB" w:rsidRDefault="000D74AF" w:rsidP="000C0A75">
      <w:pPr>
        <w:rPr>
          <w:b/>
          <w:u w:val="single"/>
          <w:lang w:val="en-GB"/>
        </w:rPr>
      </w:pPr>
      <w:r w:rsidRPr="00995AAB">
        <w:rPr>
          <w:b/>
          <w:u w:val="single"/>
          <w:lang w:val="en-GB"/>
        </w:rPr>
        <w:lastRenderedPageBreak/>
        <w:t>Derivatives</w:t>
      </w:r>
    </w:p>
    <w:p w14:paraId="01569AF4" w14:textId="77777777" w:rsidR="00CA0D3A" w:rsidRPr="00995AAB" w:rsidRDefault="00CA0D3A" w:rsidP="000C0A75">
      <w:pPr>
        <w:rPr>
          <w:b/>
          <w:u w:val="single"/>
          <w:lang w:val="en-GB"/>
        </w:rPr>
      </w:pPr>
    </w:p>
    <w:p w14:paraId="72832135" w14:textId="77777777" w:rsidR="00CA0D3A" w:rsidRPr="00080375" w:rsidRDefault="00CA0D3A" w:rsidP="00CA0D3A">
      <w:pPr>
        <w:rPr>
          <w:bCs/>
          <w:lang w:val="en-GB"/>
        </w:rPr>
      </w:pPr>
      <w:r w:rsidRPr="00080375">
        <w:rPr>
          <w:bCs/>
          <w:lang w:val="en-GB"/>
        </w:rPr>
        <w:t xml:space="preserve">Article 28 of MiFIR </w:t>
      </w:r>
      <w:r w:rsidR="00B06E66" w:rsidRPr="00080375">
        <w:rPr>
          <w:bCs/>
          <w:lang w:val="en-GB"/>
        </w:rPr>
        <w:t>requires that certain derivatives traded between financial counterparties</w:t>
      </w:r>
      <w:r w:rsidR="009E081B" w:rsidRPr="00080375">
        <w:rPr>
          <w:bCs/>
          <w:lang w:val="en-GB"/>
        </w:rPr>
        <w:t xml:space="preserve"> (FC)</w:t>
      </w:r>
      <w:r w:rsidR="00B06E66" w:rsidRPr="00080375">
        <w:rPr>
          <w:bCs/>
          <w:lang w:val="en-GB"/>
        </w:rPr>
        <w:t xml:space="preserve"> or between a financial counterparty and non-financial counterparties above a particular size </w:t>
      </w:r>
      <w:r w:rsidR="009E081B" w:rsidRPr="00080375">
        <w:rPr>
          <w:bCs/>
          <w:lang w:val="en-GB"/>
        </w:rPr>
        <w:t xml:space="preserve">(NFC+) </w:t>
      </w:r>
      <w:r w:rsidR="00B06E66" w:rsidRPr="00080375">
        <w:rPr>
          <w:bCs/>
          <w:lang w:val="en-GB"/>
        </w:rPr>
        <w:t>must be concluded on a Trading Venue or a 3</w:t>
      </w:r>
      <w:r w:rsidR="00B06E66" w:rsidRPr="00995AAB">
        <w:rPr>
          <w:bCs/>
          <w:vertAlign w:val="superscript"/>
          <w:lang w:val="en-GB"/>
        </w:rPr>
        <w:t>rd</w:t>
      </w:r>
      <w:r w:rsidR="00B06E66" w:rsidRPr="00080375">
        <w:rPr>
          <w:bCs/>
          <w:lang w:val="en-GB"/>
        </w:rPr>
        <w:t xml:space="preserve"> Country Venue</w:t>
      </w:r>
      <w:r w:rsidRPr="00080375">
        <w:rPr>
          <w:bCs/>
          <w:lang w:val="en-GB"/>
        </w:rPr>
        <w:t>.</w:t>
      </w:r>
      <w:r w:rsidR="00B06E66" w:rsidRPr="00080375">
        <w:rPr>
          <w:bCs/>
          <w:lang w:val="en-GB"/>
        </w:rPr>
        <w:t xml:space="preserve"> The list of these derivatives will be declared by ESMA on the basis that they </w:t>
      </w:r>
      <w:r w:rsidR="009E081B" w:rsidRPr="00080375">
        <w:rPr>
          <w:bCs/>
          <w:lang w:val="en-GB"/>
        </w:rPr>
        <w:t>are mandated to clear, are already traded on a trading venue, and there is enough buying/selling interest.</w:t>
      </w:r>
    </w:p>
    <w:p w14:paraId="2B9DF2A8" w14:textId="77777777" w:rsidR="00CA0D3A" w:rsidRPr="00995AAB" w:rsidRDefault="00CA0D3A" w:rsidP="00CA0D3A">
      <w:pPr>
        <w:rPr>
          <w:bCs/>
          <w:lang w:val="en-GB"/>
        </w:rPr>
      </w:pPr>
    </w:p>
    <w:p w14:paraId="6572D48C" w14:textId="77777777" w:rsidR="00CA0D3A" w:rsidRDefault="009E081B" w:rsidP="00CA0D3A">
      <w:pPr>
        <w:rPr>
          <w:bCs/>
          <w:lang w:val="en-GB"/>
        </w:rPr>
      </w:pPr>
      <w:r w:rsidRPr="00995AAB">
        <w:rPr>
          <w:bCs/>
          <w:lang w:val="en-GB"/>
        </w:rPr>
        <w:t>Financial Counterparties will still be able to trade OTC/Bilaterally with smaller non-financial counterparties (NFC-) in declared derivatives, while the remaining derivative universe can be freely traded bilaterally or on venue (subject to any EMIR clearing mandates).</w:t>
      </w:r>
    </w:p>
    <w:p w14:paraId="0150DD93" w14:textId="77777777" w:rsidR="00080375" w:rsidRDefault="00080375" w:rsidP="00CA0D3A">
      <w:pPr>
        <w:rPr>
          <w:bCs/>
          <w:lang w:val="en-GB"/>
        </w:rPr>
      </w:pPr>
    </w:p>
    <w:p w14:paraId="1650F44C" w14:textId="77777777" w:rsidR="00CA0D3A" w:rsidRDefault="00080375" w:rsidP="00995AAB">
      <w:pPr>
        <w:rPr>
          <w:bCs/>
          <w:lang w:val="en-GB"/>
        </w:rPr>
      </w:pPr>
      <w:r>
        <w:rPr>
          <w:bCs/>
          <w:lang w:val="en-GB"/>
        </w:rPr>
        <w:t>The sell-side manufacture and provide liquidity</w:t>
      </w:r>
      <w:r w:rsidR="00BF0BB1">
        <w:rPr>
          <w:bCs/>
          <w:lang w:val="en-GB"/>
        </w:rPr>
        <w:t xml:space="preserve"> for the majority of </w:t>
      </w:r>
      <w:r w:rsidR="000E6FDC">
        <w:rPr>
          <w:bCs/>
          <w:lang w:val="en-GB"/>
        </w:rPr>
        <w:t>derivatives</w:t>
      </w:r>
      <w:r w:rsidR="00EA564F">
        <w:rPr>
          <w:bCs/>
          <w:lang w:val="en-GB"/>
        </w:rPr>
        <w:t>. However, like bonds, the sell-side is only the execution venue when the transaction is concluded bilaterally and not through a Trading Venue (or Third Country Venue), and therefore only this data should be used in the RTS 27 Report provided by the sell-side firm.</w:t>
      </w:r>
    </w:p>
    <w:p w14:paraId="3AB8BB50" w14:textId="77777777" w:rsidR="006D0CC8" w:rsidRDefault="006D0CC8" w:rsidP="00995AAB">
      <w:pPr>
        <w:rPr>
          <w:bCs/>
          <w:lang w:val="en-GB"/>
        </w:rPr>
      </w:pPr>
    </w:p>
    <w:p w14:paraId="5BF6B7C7" w14:textId="77777777" w:rsidR="000D1EC8" w:rsidRPr="00995AAB" w:rsidRDefault="000D1EC8" w:rsidP="00995AAB">
      <w:pPr>
        <w:rPr>
          <w:b/>
          <w:bCs/>
          <w:u w:val="single"/>
          <w:lang w:val="en-GB"/>
        </w:rPr>
      </w:pPr>
      <w:r w:rsidRPr="00995AAB">
        <w:rPr>
          <w:b/>
          <w:bCs/>
          <w:u w:val="single"/>
          <w:lang w:val="en-GB"/>
        </w:rPr>
        <w:t>Timing and Format</w:t>
      </w:r>
    </w:p>
    <w:p w14:paraId="22F52902" w14:textId="77777777" w:rsidR="002B3E83" w:rsidRPr="002B3E83" w:rsidRDefault="002B3E83" w:rsidP="002B3E83">
      <w:pPr>
        <w:rPr>
          <w:lang w:val="en-GB"/>
        </w:rPr>
      </w:pPr>
      <w:r>
        <w:rPr>
          <w:bCs/>
          <w:lang w:val="en-GB"/>
        </w:rPr>
        <w:t>RTS 27 requires that Execution V</w:t>
      </w:r>
      <w:r w:rsidR="000D1EC8">
        <w:rPr>
          <w:bCs/>
          <w:lang w:val="en-GB"/>
        </w:rPr>
        <w:t>enues create the Execution Venue reports on a quarterly basis</w:t>
      </w:r>
      <w:r>
        <w:rPr>
          <w:bCs/>
          <w:lang w:val="en-GB"/>
        </w:rPr>
        <w:t xml:space="preserve"> </w:t>
      </w:r>
      <w:r w:rsidRPr="002B3E83">
        <w:rPr>
          <w:lang w:val="en-GB"/>
        </w:rPr>
        <w:t>and no later than three months after the end of each quarter, as follows:</w:t>
      </w:r>
    </w:p>
    <w:p w14:paraId="3232F1CB" w14:textId="77777777" w:rsidR="002B3E83" w:rsidRPr="002B3E83" w:rsidRDefault="002B3E83" w:rsidP="00A9410B">
      <w:pPr>
        <w:pStyle w:val="ListParagraph"/>
        <w:numPr>
          <w:ilvl w:val="0"/>
          <w:numId w:val="15"/>
        </w:numPr>
        <w:rPr>
          <w:lang w:val="en-GB"/>
        </w:rPr>
      </w:pPr>
      <w:r w:rsidRPr="002B3E83">
        <w:rPr>
          <w:lang w:val="en-GB"/>
        </w:rPr>
        <w:t>by 30 June, information regarding the time period 1 January to 31 March;</w:t>
      </w:r>
    </w:p>
    <w:p w14:paraId="6772B7D5" w14:textId="77777777" w:rsidR="002B3E83" w:rsidRPr="002B3E83" w:rsidRDefault="002B3E83" w:rsidP="00A9410B">
      <w:pPr>
        <w:pStyle w:val="ListParagraph"/>
        <w:numPr>
          <w:ilvl w:val="0"/>
          <w:numId w:val="15"/>
        </w:numPr>
        <w:rPr>
          <w:lang w:val="en-GB"/>
        </w:rPr>
      </w:pPr>
      <w:r w:rsidRPr="002B3E83">
        <w:rPr>
          <w:lang w:val="en-GB"/>
        </w:rPr>
        <w:t>by 30 September, information regarding the time period 1 April to 30 June;</w:t>
      </w:r>
    </w:p>
    <w:p w14:paraId="37036456" w14:textId="77777777" w:rsidR="002B3E83" w:rsidRPr="002B3E83" w:rsidRDefault="002B3E83" w:rsidP="00A9410B">
      <w:pPr>
        <w:pStyle w:val="ListParagraph"/>
        <w:numPr>
          <w:ilvl w:val="0"/>
          <w:numId w:val="15"/>
        </w:numPr>
        <w:rPr>
          <w:lang w:val="en-GB"/>
        </w:rPr>
      </w:pPr>
      <w:r w:rsidRPr="002B3E83">
        <w:rPr>
          <w:lang w:val="en-GB"/>
        </w:rPr>
        <w:t>by 31 December, information regarding the time period 1 July to 30 September;</w:t>
      </w:r>
    </w:p>
    <w:p w14:paraId="182CF7AF" w14:textId="77777777" w:rsidR="002B3E83" w:rsidRPr="002B3E83" w:rsidRDefault="002B3E83" w:rsidP="00A9410B">
      <w:pPr>
        <w:pStyle w:val="ListParagraph"/>
        <w:numPr>
          <w:ilvl w:val="0"/>
          <w:numId w:val="15"/>
        </w:numPr>
        <w:rPr>
          <w:lang w:val="en-GB"/>
        </w:rPr>
      </w:pPr>
      <w:r w:rsidRPr="002B3E83">
        <w:rPr>
          <w:lang w:val="en-GB"/>
        </w:rPr>
        <w:t>by 31 March, information regarding the time period 1 October to 31 December.</w:t>
      </w:r>
    </w:p>
    <w:p w14:paraId="1026B025" w14:textId="77777777" w:rsidR="002B3E83" w:rsidRDefault="002B3E83" w:rsidP="00995AAB">
      <w:pPr>
        <w:rPr>
          <w:bCs/>
          <w:lang w:val="en-GB"/>
        </w:rPr>
      </w:pPr>
    </w:p>
    <w:p w14:paraId="37403E6E" w14:textId="77777777" w:rsidR="000D1EC8" w:rsidRDefault="002B3E83" w:rsidP="00995AAB">
      <w:pPr>
        <w:rPr>
          <w:bCs/>
          <w:lang w:val="en-GB"/>
        </w:rPr>
      </w:pPr>
      <w:r>
        <w:rPr>
          <w:bCs/>
          <w:lang w:val="en-GB"/>
        </w:rPr>
        <w:t>The first report, therefore, is expected to be published by 30</w:t>
      </w:r>
      <w:r w:rsidRPr="00995AAB">
        <w:rPr>
          <w:bCs/>
          <w:vertAlign w:val="superscript"/>
          <w:lang w:val="en-GB"/>
        </w:rPr>
        <w:t>th</w:t>
      </w:r>
      <w:r>
        <w:rPr>
          <w:bCs/>
          <w:lang w:val="en-GB"/>
        </w:rPr>
        <w:t xml:space="preserve"> June 2018.</w:t>
      </w:r>
    </w:p>
    <w:p w14:paraId="36A7C446" w14:textId="18C50247" w:rsidR="00FF5C88" w:rsidRDefault="00FF5C88">
      <w:pPr>
        <w:rPr>
          <w:bCs/>
          <w:lang w:val="en-GB"/>
        </w:rPr>
      </w:pPr>
      <w:r>
        <w:rPr>
          <w:bCs/>
          <w:lang w:val="en-GB"/>
        </w:rPr>
        <w:br w:type="page"/>
      </w:r>
    </w:p>
    <w:p w14:paraId="58F51E28" w14:textId="77777777" w:rsidR="002B3E83" w:rsidRDefault="002B3E83" w:rsidP="00995AAB">
      <w:pPr>
        <w:rPr>
          <w:bCs/>
          <w:lang w:val="en-GB"/>
        </w:rPr>
      </w:pPr>
    </w:p>
    <w:p w14:paraId="5D2181C0" w14:textId="77777777" w:rsidR="006D0CC8" w:rsidRDefault="000D1EC8" w:rsidP="00995AAB">
      <w:pPr>
        <w:rPr>
          <w:bCs/>
          <w:lang w:val="en-GB"/>
        </w:rPr>
      </w:pPr>
      <w:r w:rsidRPr="0088504D">
        <w:rPr>
          <w:bCs/>
          <w:lang w:val="en-GB"/>
        </w:rPr>
        <w:t>The following sections cover the generic format and tables that make up the comp</w:t>
      </w:r>
      <w:r w:rsidR="002B3E83" w:rsidRPr="0088504D">
        <w:rPr>
          <w:bCs/>
          <w:lang w:val="en-GB"/>
        </w:rPr>
        <w:t>onents of an RTS 27 Report:</w:t>
      </w:r>
      <w:r>
        <w:rPr>
          <w:bCs/>
          <w:lang w:val="en-GB"/>
        </w:rPr>
        <w:t xml:space="preserve"> </w:t>
      </w:r>
    </w:p>
    <w:p w14:paraId="697B9829" w14:textId="77777777" w:rsidR="00B61599" w:rsidRPr="00995AAB" w:rsidRDefault="008C1AEC" w:rsidP="002005D5">
      <w:pPr>
        <w:pStyle w:val="Heading3"/>
        <w:rPr>
          <w:lang w:val="en-GB"/>
        </w:rPr>
      </w:pPr>
      <w:bookmarkStart w:id="43" w:name="_Toc473563358"/>
      <w:bookmarkStart w:id="44" w:name="_Toc475388814"/>
      <w:bookmarkStart w:id="45" w:name="_Toc473563359"/>
      <w:bookmarkStart w:id="46" w:name="_Toc475388815"/>
      <w:bookmarkStart w:id="47" w:name="_Toc495562557"/>
      <w:bookmarkEnd w:id="43"/>
      <w:bookmarkEnd w:id="44"/>
      <w:bookmarkEnd w:id="45"/>
      <w:bookmarkEnd w:id="46"/>
      <w:r w:rsidRPr="00995AAB">
        <w:rPr>
          <w:lang w:val="en-GB"/>
        </w:rPr>
        <w:t>Table 1</w:t>
      </w:r>
      <w:r w:rsidR="00DF2938" w:rsidRPr="00995AAB">
        <w:rPr>
          <w:lang w:val="en-GB"/>
        </w:rPr>
        <w:t xml:space="preserve"> - Article 3(1)</w:t>
      </w:r>
      <w:r w:rsidR="003E0625" w:rsidRPr="00995AAB">
        <w:rPr>
          <w:lang w:val="en-GB"/>
        </w:rPr>
        <w:t>: Market Information</w:t>
      </w:r>
      <w:bookmarkEnd w:id="47"/>
    </w:p>
    <w:p w14:paraId="45894EEF" w14:textId="77777777" w:rsidR="003E0625" w:rsidRPr="00995AAB" w:rsidRDefault="003E0625" w:rsidP="00554CF0">
      <w:pPr>
        <w:pStyle w:val="Heading4"/>
        <w:rPr>
          <w:lang w:val="en-GB"/>
        </w:rPr>
      </w:pPr>
      <w:r w:rsidRPr="00995AAB">
        <w:rPr>
          <w:lang w:val="en-GB"/>
        </w:rPr>
        <w:t>Table Format</w:t>
      </w:r>
      <w:r w:rsidR="003F422E">
        <w:rPr>
          <w:lang w:val="en-GB"/>
        </w:rPr>
        <w:t xml:space="preserve"> (one table per market segment)</w:t>
      </w:r>
    </w:p>
    <w:p w14:paraId="3FA61232" w14:textId="77777777" w:rsidR="003E0625" w:rsidRPr="00995AAB" w:rsidRDefault="003E0625" w:rsidP="00554CF0">
      <w:pPr>
        <w:rPr>
          <w:lang w:val="en-GB"/>
        </w:rPr>
      </w:pPr>
    </w:p>
    <w:tbl>
      <w:tblPr>
        <w:tblW w:w="9346" w:type="dxa"/>
        <w:tblLook w:val="04A0" w:firstRow="1" w:lastRow="0" w:firstColumn="1" w:lastColumn="0" w:noHBand="0" w:noVBand="1"/>
      </w:tblPr>
      <w:tblGrid>
        <w:gridCol w:w="2336"/>
        <w:gridCol w:w="2337"/>
        <w:gridCol w:w="2336"/>
        <w:gridCol w:w="2337"/>
      </w:tblGrid>
      <w:tr w:rsidR="00BE0EE0" w:rsidRPr="00080375" w14:paraId="7D92523C" w14:textId="77777777" w:rsidTr="00EB357D">
        <w:trPr>
          <w:trHeight w:val="261"/>
        </w:trPr>
        <w:tc>
          <w:tcPr>
            <w:tcW w:w="2336" w:type="dxa"/>
            <w:tcBorders>
              <w:top w:val="single" w:sz="8" w:space="0" w:color="auto"/>
              <w:left w:val="single" w:sz="8" w:space="0" w:color="auto"/>
              <w:bottom w:val="single" w:sz="4" w:space="0" w:color="auto"/>
              <w:right w:val="single" w:sz="4" w:space="0" w:color="auto"/>
            </w:tcBorders>
            <w:shd w:val="clear" w:color="000000" w:fill="D9D9D9"/>
            <w:hideMark/>
          </w:tcPr>
          <w:p w14:paraId="6114ED2A" w14:textId="77777777" w:rsidR="00855637" w:rsidRPr="00995AAB" w:rsidRDefault="00855637" w:rsidP="00855637">
            <w:pPr>
              <w:rPr>
                <w:rFonts w:ascii="Calibri" w:hAnsi="Calibri"/>
                <w:sz w:val="16"/>
                <w:szCs w:val="16"/>
                <w:lang w:val="en-GB"/>
              </w:rPr>
            </w:pPr>
            <w:r w:rsidRPr="00995AAB">
              <w:rPr>
                <w:rFonts w:ascii="Calibri" w:hAnsi="Calibri"/>
                <w:sz w:val="16"/>
                <w:szCs w:val="16"/>
                <w:lang w:val="en-GB"/>
              </w:rPr>
              <w:t>Venue</w:t>
            </w:r>
            <w:r w:rsidR="00AC77FA" w:rsidRPr="00995AAB">
              <w:rPr>
                <w:rFonts w:ascii="Calibri" w:hAnsi="Calibri"/>
                <w:sz w:val="16"/>
                <w:szCs w:val="16"/>
                <w:lang w:val="en-GB"/>
              </w:rPr>
              <w:t xml:space="preserve"> as a Systematic Internaliser</w:t>
            </w:r>
          </w:p>
        </w:tc>
        <w:tc>
          <w:tcPr>
            <w:tcW w:w="2337" w:type="dxa"/>
            <w:tcBorders>
              <w:top w:val="single" w:sz="8" w:space="0" w:color="auto"/>
              <w:left w:val="nil"/>
              <w:bottom w:val="single" w:sz="4" w:space="0" w:color="auto"/>
              <w:right w:val="single" w:sz="4" w:space="0" w:color="auto"/>
            </w:tcBorders>
            <w:shd w:val="clear" w:color="auto" w:fill="auto"/>
            <w:hideMark/>
          </w:tcPr>
          <w:p w14:paraId="7ADB5EC3" w14:textId="77777777" w:rsidR="00855637" w:rsidRPr="00995AAB" w:rsidRDefault="00855637" w:rsidP="00855637">
            <w:pPr>
              <w:rPr>
                <w:rFonts w:ascii="Calibri" w:hAnsi="Calibri"/>
                <w:color w:val="FF0000"/>
                <w:sz w:val="16"/>
                <w:szCs w:val="16"/>
                <w:lang w:val="en-GB"/>
              </w:rPr>
            </w:pPr>
            <w:r w:rsidRPr="00995AAB">
              <w:rPr>
                <w:rFonts w:ascii="Calibri" w:hAnsi="Calibri"/>
                <w:color w:val="FF0000"/>
                <w:sz w:val="16"/>
                <w:szCs w:val="16"/>
                <w:lang w:val="en-GB"/>
              </w:rPr>
              <w:t>1a)</w:t>
            </w:r>
          </w:p>
        </w:tc>
        <w:tc>
          <w:tcPr>
            <w:tcW w:w="2336" w:type="dxa"/>
            <w:tcBorders>
              <w:top w:val="single" w:sz="8" w:space="0" w:color="auto"/>
              <w:left w:val="nil"/>
              <w:bottom w:val="single" w:sz="4" w:space="0" w:color="auto"/>
              <w:right w:val="single" w:sz="4" w:space="0" w:color="auto"/>
            </w:tcBorders>
            <w:shd w:val="clear" w:color="auto" w:fill="auto"/>
            <w:hideMark/>
          </w:tcPr>
          <w:p w14:paraId="4CCF5E5E" w14:textId="77777777" w:rsidR="00855637" w:rsidRPr="00995AAB" w:rsidRDefault="00855637" w:rsidP="00855637">
            <w:pPr>
              <w:rPr>
                <w:rFonts w:ascii="Calibri" w:hAnsi="Calibri"/>
                <w:color w:val="FF0000"/>
                <w:sz w:val="16"/>
                <w:szCs w:val="16"/>
                <w:lang w:val="en-GB"/>
              </w:rPr>
            </w:pPr>
            <w:r w:rsidRPr="00995AAB">
              <w:rPr>
                <w:rFonts w:ascii="Calibri" w:hAnsi="Calibri"/>
                <w:color w:val="FF0000"/>
                <w:sz w:val="16"/>
                <w:szCs w:val="16"/>
                <w:lang w:val="en-GB"/>
              </w:rPr>
              <w:t>1b)</w:t>
            </w:r>
          </w:p>
        </w:tc>
        <w:tc>
          <w:tcPr>
            <w:tcW w:w="2337" w:type="dxa"/>
            <w:tcBorders>
              <w:top w:val="single" w:sz="8" w:space="0" w:color="auto"/>
              <w:left w:val="nil"/>
              <w:bottom w:val="single" w:sz="4" w:space="0" w:color="auto"/>
              <w:right w:val="single" w:sz="8" w:space="0" w:color="auto"/>
            </w:tcBorders>
            <w:shd w:val="clear" w:color="auto" w:fill="auto"/>
            <w:hideMark/>
          </w:tcPr>
          <w:p w14:paraId="4A641BFB" w14:textId="77777777" w:rsidR="00855637" w:rsidRPr="00995AAB" w:rsidRDefault="00855637" w:rsidP="00855637">
            <w:pPr>
              <w:rPr>
                <w:rFonts w:ascii="Calibri" w:hAnsi="Calibri"/>
                <w:color w:val="FF0000"/>
                <w:sz w:val="16"/>
                <w:szCs w:val="16"/>
                <w:lang w:val="en-GB"/>
              </w:rPr>
            </w:pPr>
            <w:r w:rsidRPr="00995AAB">
              <w:rPr>
                <w:rFonts w:ascii="Calibri" w:hAnsi="Calibri"/>
                <w:color w:val="FF0000"/>
                <w:sz w:val="16"/>
                <w:szCs w:val="16"/>
                <w:lang w:val="en-GB"/>
              </w:rPr>
              <w:t> </w:t>
            </w:r>
          </w:p>
        </w:tc>
      </w:tr>
      <w:tr w:rsidR="00BE0EE0" w:rsidRPr="00080375" w14:paraId="31F96446" w14:textId="77777777" w:rsidTr="00EB357D">
        <w:trPr>
          <w:trHeight w:val="261"/>
        </w:trPr>
        <w:tc>
          <w:tcPr>
            <w:tcW w:w="2336" w:type="dxa"/>
            <w:tcBorders>
              <w:top w:val="nil"/>
              <w:left w:val="single" w:sz="8" w:space="0" w:color="auto"/>
              <w:bottom w:val="single" w:sz="4" w:space="0" w:color="auto"/>
              <w:right w:val="single" w:sz="4" w:space="0" w:color="auto"/>
            </w:tcBorders>
            <w:shd w:val="clear" w:color="000000" w:fill="D9D9D9"/>
            <w:hideMark/>
          </w:tcPr>
          <w:p w14:paraId="7169B0C5" w14:textId="77777777" w:rsidR="00855637" w:rsidRPr="00995AAB" w:rsidRDefault="00855637" w:rsidP="00855637">
            <w:pPr>
              <w:rPr>
                <w:rFonts w:ascii="Calibri" w:hAnsi="Calibri"/>
                <w:sz w:val="16"/>
                <w:szCs w:val="16"/>
                <w:lang w:val="en-GB"/>
              </w:rPr>
            </w:pPr>
            <w:r w:rsidRPr="00995AAB">
              <w:rPr>
                <w:rFonts w:ascii="Calibri" w:hAnsi="Calibri"/>
                <w:sz w:val="16"/>
                <w:szCs w:val="16"/>
                <w:lang w:val="en-GB"/>
              </w:rPr>
              <w:t>Country of Competent Authority</w:t>
            </w:r>
          </w:p>
        </w:tc>
        <w:tc>
          <w:tcPr>
            <w:tcW w:w="2337" w:type="dxa"/>
            <w:tcBorders>
              <w:top w:val="nil"/>
              <w:left w:val="nil"/>
              <w:bottom w:val="single" w:sz="4" w:space="0" w:color="auto"/>
              <w:right w:val="single" w:sz="4" w:space="0" w:color="auto"/>
            </w:tcBorders>
            <w:shd w:val="clear" w:color="auto" w:fill="auto"/>
            <w:hideMark/>
          </w:tcPr>
          <w:p w14:paraId="7EAF61D6" w14:textId="77777777" w:rsidR="00855637" w:rsidRPr="00995AAB" w:rsidRDefault="00855637" w:rsidP="00855637">
            <w:pPr>
              <w:rPr>
                <w:rFonts w:ascii="Calibri" w:hAnsi="Calibri"/>
                <w:color w:val="FF0000"/>
                <w:sz w:val="16"/>
                <w:szCs w:val="16"/>
                <w:lang w:val="en-GB"/>
              </w:rPr>
            </w:pPr>
            <w:r w:rsidRPr="00995AAB">
              <w:rPr>
                <w:rFonts w:ascii="Calibri" w:hAnsi="Calibri"/>
                <w:color w:val="FF0000"/>
                <w:sz w:val="16"/>
                <w:szCs w:val="16"/>
                <w:lang w:val="en-GB"/>
              </w:rPr>
              <w:t>1c)</w:t>
            </w:r>
          </w:p>
        </w:tc>
        <w:tc>
          <w:tcPr>
            <w:tcW w:w="2336" w:type="dxa"/>
            <w:tcBorders>
              <w:top w:val="nil"/>
              <w:left w:val="nil"/>
              <w:bottom w:val="single" w:sz="4" w:space="0" w:color="auto"/>
              <w:right w:val="single" w:sz="4" w:space="0" w:color="auto"/>
            </w:tcBorders>
            <w:shd w:val="clear" w:color="auto" w:fill="auto"/>
            <w:hideMark/>
          </w:tcPr>
          <w:p w14:paraId="29493AB7" w14:textId="77777777" w:rsidR="00855637" w:rsidRPr="00995AAB" w:rsidRDefault="00855637" w:rsidP="00855637">
            <w:pPr>
              <w:rPr>
                <w:rFonts w:ascii="Calibri" w:hAnsi="Calibri"/>
                <w:color w:val="FF0000"/>
                <w:sz w:val="16"/>
                <w:szCs w:val="16"/>
                <w:lang w:val="en-GB"/>
              </w:rPr>
            </w:pPr>
            <w:r w:rsidRPr="00995AAB">
              <w:rPr>
                <w:rFonts w:ascii="Calibri" w:hAnsi="Calibri"/>
                <w:color w:val="FF0000"/>
                <w:sz w:val="16"/>
                <w:szCs w:val="16"/>
                <w:lang w:val="en-GB"/>
              </w:rPr>
              <w:t> </w:t>
            </w:r>
          </w:p>
        </w:tc>
        <w:tc>
          <w:tcPr>
            <w:tcW w:w="2337" w:type="dxa"/>
            <w:tcBorders>
              <w:top w:val="nil"/>
              <w:left w:val="nil"/>
              <w:bottom w:val="single" w:sz="4" w:space="0" w:color="auto"/>
              <w:right w:val="single" w:sz="8" w:space="0" w:color="auto"/>
            </w:tcBorders>
            <w:shd w:val="clear" w:color="auto" w:fill="auto"/>
            <w:hideMark/>
          </w:tcPr>
          <w:p w14:paraId="795E4E93" w14:textId="77777777" w:rsidR="00855637" w:rsidRPr="00995AAB" w:rsidRDefault="00855637" w:rsidP="00855637">
            <w:pPr>
              <w:rPr>
                <w:rFonts w:ascii="Calibri" w:hAnsi="Calibri"/>
                <w:color w:val="FF0000"/>
                <w:sz w:val="16"/>
                <w:szCs w:val="16"/>
                <w:lang w:val="en-GB"/>
              </w:rPr>
            </w:pPr>
            <w:r w:rsidRPr="00995AAB">
              <w:rPr>
                <w:rFonts w:ascii="Calibri" w:hAnsi="Calibri"/>
                <w:color w:val="FF0000"/>
                <w:sz w:val="16"/>
                <w:szCs w:val="16"/>
                <w:lang w:val="en-GB"/>
              </w:rPr>
              <w:t> </w:t>
            </w:r>
          </w:p>
        </w:tc>
      </w:tr>
      <w:tr w:rsidR="00BE0EE0" w:rsidRPr="00080375" w14:paraId="67DCB42C" w14:textId="77777777" w:rsidTr="00EB357D">
        <w:trPr>
          <w:trHeight w:val="261"/>
        </w:trPr>
        <w:tc>
          <w:tcPr>
            <w:tcW w:w="2336" w:type="dxa"/>
            <w:tcBorders>
              <w:top w:val="nil"/>
              <w:left w:val="single" w:sz="8" w:space="0" w:color="auto"/>
              <w:bottom w:val="single" w:sz="4" w:space="0" w:color="auto"/>
              <w:right w:val="single" w:sz="4" w:space="0" w:color="auto"/>
            </w:tcBorders>
            <w:shd w:val="clear" w:color="000000" w:fill="D9D9D9"/>
            <w:hideMark/>
          </w:tcPr>
          <w:p w14:paraId="4788A978" w14:textId="77777777" w:rsidR="00855637" w:rsidRPr="00995AAB" w:rsidRDefault="00855637" w:rsidP="00855637">
            <w:pPr>
              <w:rPr>
                <w:rFonts w:ascii="Calibri" w:hAnsi="Calibri"/>
                <w:sz w:val="16"/>
                <w:szCs w:val="16"/>
                <w:lang w:val="en-GB"/>
              </w:rPr>
            </w:pPr>
            <w:r w:rsidRPr="00995AAB">
              <w:rPr>
                <w:rFonts w:ascii="Calibri" w:hAnsi="Calibri"/>
                <w:sz w:val="16"/>
                <w:szCs w:val="16"/>
                <w:lang w:val="en-GB"/>
              </w:rPr>
              <w:t>Market Segment</w:t>
            </w:r>
          </w:p>
        </w:tc>
        <w:tc>
          <w:tcPr>
            <w:tcW w:w="2337" w:type="dxa"/>
            <w:tcBorders>
              <w:top w:val="nil"/>
              <w:left w:val="nil"/>
              <w:bottom w:val="single" w:sz="4" w:space="0" w:color="auto"/>
              <w:right w:val="single" w:sz="4" w:space="0" w:color="auto"/>
            </w:tcBorders>
            <w:shd w:val="clear" w:color="auto" w:fill="auto"/>
            <w:hideMark/>
          </w:tcPr>
          <w:p w14:paraId="60DA4AD7" w14:textId="77777777" w:rsidR="00855637" w:rsidRPr="00995AAB" w:rsidRDefault="00855637" w:rsidP="00855637">
            <w:pPr>
              <w:rPr>
                <w:rFonts w:ascii="Calibri" w:hAnsi="Calibri"/>
                <w:color w:val="FF0000"/>
                <w:sz w:val="16"/>
                <w:szCs w:val="16"/>
                <w:lang w:val="en-GB"/>
              </w:rPr>
            </w:pPr>
            <w:r w:rsidRPr="00995AAB">
              <w:rPr>
                <w:rFonts w:ascii="Calibri" w:hAnsi="Calibri"/>
                <w:color w:val="FF0000"/>
                <w:sz w:val="16"/>
                <w:szCs w:val="16"/>
                <w:lang w:val="en-GB"/>
              </w:rPr>
              <w:t>1d)</w:t>
            </w:r>
          </w:p>
        </w:tc>
        <w:tc>
          <w:tcPr>
            <w:tcW w:w="2336" w:type="dxa"/>
            <w:tcBorders>
              <w:top w:val="nil"/>
              <w:left w:val="nil"/>
              <w:bottom w:val="single" w:sz="4" w:space="0" w:color="auto"/>
              <w:right w:val="single" w:sz="4" w:space="0" w:color="auto"/>
            </w:tcBorders>
            <w:shd w:val="clear" w:color="auto" w:fill="auto"/>
            <w:hideMark/>
          </w:tcPr>
          <w:p w14:paraId="317609AD" w14:textId="77777777" w:rsidR="00855637" w:rsidRPr="00995AAB" w:rsidRDefault="00855637" w:rsidP="00855637">
            <w:pPr>
              <w:rPr>
                <w:rFonts w:ascii="Calibri" w:hAnsi="Calibri"/>
                <w:color w:val="FF0000"/>
                <w:sz w:val="16"/>
                <w:szCs w:val="16"/>
                <w:lang w:val="en-GB"/>
              </w:rPr>
            </w:pPr>
            <w:r w:rsidRPr="00995AAB">
              <w:rPr>
                <w:rFonts w:ascii="Calibri" w:hAnsi="Calibri"/>
                <w:color w:val="FF0000"/>
                <w:sz w:val="16"/>
                <w:szCs w:val="16"/>
                <w:lang w:val="en-GB"/>
              </w:rPr>
              <w:t>1e)</w:t>
            </w:r>
          </w:p>
        </w:tc>
        <w:tc>
          <w:tcPr>
            <w:tcW w:w="2337" w:type="dxa"/>
            <w:tcBorders>
              <w:top w:val="nil"/>
              <w:left w:val="nil"/>
              <w:bottom w:val="single" w:sz="4" w:space="0" w:color="auto"/>
              <w:right w:val="single" w:sz="8" w:space="0" w:color="auto"/>
            </w:tcBorders>
            <w:shd w:val="clear" w:color="auto" w:fill="auto"/>
            <w:hideMark/>
          </w:tcPr>
          <w:p w14:paraId="185DF716" w14:textId="77777777" w:rsidR="00855637" w:rsidRPr="00995AAB" w:rsidRDefault="00855637" w:rsidP="00855637">
            <w:pPr>
              <w:rPr>
                <w:rFonts w:ascii="Calibri" w:hAnsi="Calibri"/>
                <w:color w:val="FF0000"/>
                <w:sz w:val="16"/>
                <w:szCs w:val="16"/>
                <w:lang w:val="en-GB"/>
              </w:rPr>
            </w:pPr>
            <w:r w:rsidRPr="00995AAB">
              <w:rPr>
                <w:rFonts w:ascii="Calibri" w:hAnsi="Calibri"/>
                <w:color w:val="FF0000"/>
                <w:sz w:val="16"/>
                <w:szCs w:val="16"/>
                <w:lang w:val="en-GB"/>
              </w:rPr>
              <w:t> </w:t>
            </w:r>
          </w:p>
        </w:tc>
      </w:tr>
      <w:tr w:rsidR="00BE0EE0" w:rsidRPr="00080375" w14:paraId="11A6C1F6" w14:textId="77777777" w:rsidTr="00EB357D">
        <w:trPr>
          <w:trHeight w:val="261"/>
        </w:trPr>
        <w:tc>
          <w:tcPr>
            <w:tcW w:w="2336" w:type="dxa"/>
            <w:tcBorders>
              <w:top w:val="nil"/>
              <w:left w:val="single" w:sz="8" w:space="0" w:color="auto"/>
              <w:bottom w:val="single" w:sz="4" w:space="0" w:color="auto"/>
              <w:right w:val="single" w:sz="4" w:space="0" w:color="auto"/>
            </w:tcBorders>
            <w:shd w:val="clear" w:color="000000" w:fill="D9D9D9"/>
            <w:hideMark/>
          </w:tcPr>
          <w:p w14:paraId="18F8EA22" w14:textId="77777777" w:rsidR="00855637" w:rsidRPr="00995AAB" w:rsidRDefault="00855637" w:rsidP="00855637">
            <w:pPr>
              <w:rPr>
                <w:rFonts w:ascii="Calibri" w:hAnsi="Calibri"/>
                <w:sz w:val="16"/>
                <w:szCs w:val="16"/>
                <w:lang w:val="en-GB"/>
              </w:rPr>
            </w:pPr>
            <w:r w:rsidRPr="00995AAB">
              <w:rPr>
                <w:rFonts w:ascii="Calibri" w:hAnsi="Calibri"/>
                <w:sz w:val="16"/>
                <w:szCs w:val="16"/>
                <w:lang w:val="en-GB"/>
              </w:rPr>
              <w:t>Date</w:t>
            </w:r>
          </w:p>
        </w:tc>
        <w:tc>
          <w:tcPr>
            <w:tcW w:w="2337" w:type="dxa"/>
            <w:tcBorders>
              <w:top w:val="nil"/>
              <w:left w:val="nil"/>
              <w:bottom w:val="single" w:sz="4" w:space="0" w:color="auto"/>
              <w:right w:val="single" w:sz="4" w:space="0" w:color="auto"/>
            </w:tcBorders>
            <w:shd w:val="clear" w:color="auto" w:fill="auto"/>
            <w:hideMark/>
          </w:tcPr>
          <w:p w14:paraId="203ACE47" w14:textId="77777777" w:rsidR="00855637" w:rsidRPr="00995AAB" w:rsidRDefault="00855637" w:rsidP="00855637">
            <w:pPr>
              <w:rPr>
                <w:rFonts w:ascii="Calibri" w:hAnsi="Calibri"/>
                <w:color w:val="FF0000"/>
                <w:sz w:val="16"/>
                <w:szCs w:val="16"/>
                <w:lang w:val="en-GB"/>
              </w:rPr>
            </w:pPr>
            <w:r w:rsidRPr="00995AAB">
              <w:rPr>
                <w:rFonts w:ascii="Calibri" w:hAnsi="Calibri"/>
                <w:color w:val="FF0000"/>
                <w:sz w:val="16"/>
                <w:szCs w:val="16"/>
                <w:lang w:val="en-GB"/>
              </w:rPr>
              <w:t>1f)</w:t>
            </w:r>
          </w:p>
        </w:tc>
        <w:tc>
          <w:tcPr>
            <w:tcW w:w="2336" w:type="dxa"/>
            <w:tcBorders>
              <w:top w:val="nil"/>
              <w:left w:val="nil"/>
              <w:bottom w:val="single" w:sz="4" w:space="0" w:color="auto"/>
              <w:right w:val="single" w:sz="4" w:space="0" w:color="auto"/>
            </w:tcBorders>
            <w:shd w:val="clear" w:color="auto" w:fill="auto"/>
            <w:hideMark/>
          </w:tcPr>
          <w:p w14:paraId="0B084EEA" w14:textId="77777777" w:rsidR="00855637" w:rsidRPr="00995AAB" w:rsidRDefault="00855637" w:rsidP="00855637">
            <w:pPr>
              <w:rPr>
                <w:rFonts w:ascii="Calibri" w:hAnsi="Calibri"/>
                <w:color w:val="FF0000"/>
                <w:sz w:val="16"/>
                <w:szCs w:val="16"/>
                <w:lang w:val="en-GB"/>
              </w:rPr>
            </w:pPr>
            <w:r w:rsidRPr="00995AAB">
              <w:rPr>
                <w:rFonts w:ascii="Calibri" w:hAnsi="Calibri"/>
                <w:color w:val="FF0000"/>
                <w:sz w:val="16"/>
                <w:szCs w:val="16"/>
                <w:lang w:val="en-GB"/>
              </w:rPr>
              <w:t> </w:t>
            </w:r>
          </w:p>
        </w:tc>
        <w:tc>
          <w:tcPr>
            <w:tcW w:w="2337" w:type="dxa"/>
            <w:tcBorders>
              <w:top w:val="nil"/>
              <w:left w:val="nil"/>
              <w:bottom w:val="single" w:sz="4" w:space="0" w:color="auto"/>
              <w:right w:val="single" w:sz="8" w:space="0" w:color="auto"/>
            </w:tcBorders>
            <w:shd w:val="clear" w:color="auto" w:fill="auto"/>
            <w:hideMark/>
          </w:tcPr>
          <w:p w14:paraId="58C827AB" w14:textId="77777777" w:rsidR="00855637" w:rsidRPr="00995AAB" w:rsidRDefault="00855637" w:rsidP="00855637">
            <w:pPr>
              <w:rPr>
                <w:rFonts w:ascii="Calibri" w:hAnsi="Calibri"/>
                <w:color w:val="FF0000"/>
                <w:sz w:val="16"/>
                <w:szCs w:val="16"/>
                <w:lang w:val="en-GB"/>
              </w:rPr>
            </w:pPr>
            <w:r w:rsidRPr="00995AAB">
              <w:rPr>
                <w:rFonts w:ascii="Calibri" w:hAnsi="Calibri"/>
                <w:color w:val="FF0000"/>
                <w:sz w:val="16"/>
                <w:szCs w:val="16"/>
                <w:lang w:val="en-GB"/>
              </w:rPr>
              <w:t> </w:t>
            </w:r>
          </w:p>
        </w:tc>
      </w:tr>
      <w:tr w:rsidR="00BE0EE0" w:rsidRPr="00080375" w14:paraId="1D92798B" w14:textId="77777777" w:rsidTr="00EB357D">
        <w:trPr>
          <w:trHeight w:val="261"/>
        </w:trPr>
        <w:tc>
          <w:tcPr>
            <w:tcW w:w="2336" w:type="dxa"/>
            <w:tcBorders>
              <w:top w:val="nil"/>
              <w:left w:val="single" w:sz="8" w:space="0" w:color="auto"/>
              <w:bottom w:val="single" w:sz="4" w:space="0" w:color="auto"/>
              <w:right w:val="single" w:sz="4" w:space="0" w:color="auto"/>
            </w:tcBorders>
            <w:shd w:val="clear" w:color="000000" w:fill="D9D9D9"/>
            <w:hideMark/>
          </w:tcPr>
          <w:p w14:paraId="456BB0FD" w14:textId="77777777" w:rsidR="00855637" w:rsidRPr="00995AAB" w:rsidRDefault="00855637" w:rsidP="00855637">
            <w:pPr>
              <w:rPr>
                <w:rFonts w:ascii="Calibri" w:hAnsi="Calibri"/>
                <w:sz w:val="16"/>
                <w:szCs w:val="16"/>
                <w:lang w:val="en-GB"/>
              </w:rPr>
            </w:pPr>
            <w:r w:rsidRPr="00995AAB">
              <w:rPr>
                <w:rFonts w:ascii="Calibri" w:hAnsi="Calibri"/>
                <w:sz w:val="16"/>
                <w:szCs w:val="16"/>
                <w:lang w:val="en-GB"/>
              </w:rPr>
              <w:t>Outages</w:t>
            </w:r>
          </w:p>
        </w:tc>
        <w:tc>
          <w:tcPr>
            <w:tcW w:w="2337" w:type="dxa"/>
            <w:tcBorders>
              <w:top w:val="nil"/>
              <w:left w:val="nil"/>
              <w:bottom w:val="single" w:sz="4" w:space="0" w:color="auto"/>
              <w:right w:val="single" w:sz="4" w:space="0" w:color="auto"/>
            </w:tcBorders>
            <w:shd w:val="clear" w:color="auto" w:fill="auto"/>
            <w:hideMark/>
          </w:tcPr>
          <w:p w14:paraId="4F71C3B5" w14:textId="77777777" w:rsidR="00855637" w:rsidRPr="00995AAB" w:rsidRDefault="00855637" w:rsidP="00855637">
            <w:pPr>
              <w:rPr>
                <w:rFonts w:ascii="Calibri" w:hAnsi="Calibri"/>
                <w:color w:val="FF0000"/>
                <w:sz w:val="16"/>
                <w:szCs w:val="16"/>
                <w:lang w:val="en-GB"/>
              </w:rPr>
            </w:pPr>
            <w:r w:rsidRPr="00995AAB">
              <w:rPr>
                <w:rFonts w:ascii="Calibri" w:hAnsi="Calibri"/>
                <w:color w:val="FF0000"/>
                <w:sz w:val="16"/>
                <w:szCs w:val="16"/>
                <w:lang w:val="en-GB"/>
              </w:rPr>
              <w:t>1g)</w:t>
            </w:r>
          </w:p>
        </w:tc>
        <w:tc>
          <w:tcPr>
            <w:tcW w:w="2336" w:type="dxa"/>
            <w:tcBorders>
              <w:top w:val="nil"/>
              <w:left w:val="nil"/>
              <w:bottom w:val="single" w:sz="4" w:space="0" w:color="auto"/>
              <w:right w:val="single" w:sz="4" w:space="0" w:color="auto"/>
            </w:tcBorders>
            <w:shd w:val="clear" w:color="auto" w:fill="auto"/>
            <w:hideMark/>
          </w:tcPr>
          <w:p w14:paraId="5A6DE2E0" w14:textId="77777777" w:rsidR="00855637" w:rsidRPr="00995AAB" w:rsidRDefault="00855637" w:rsidP="00855637">
            <w:pPr>
              <w:rPr>
                <w:rFonts w:ascii="Calibri" w:hAnsi="Calibri"/>
                <w:color w:val="FF0000"/>
                <w:sz w:val="16"/>
                <w:szCs w:val="16"/>
                <w:lang w:val="en-GB"/>
              </w:rPr>
            </w:pPr>
            <w:r w:rsidRPr="00995AAB">
              <w:rPr>
                <w:rFonts w:ascii="Calibri" w:hAnsi="Calibri"/>
                <w:color w:val="FF0000"/>
                <w:sz w:val="16"/>
                <w:szCs w:val="16"/>
                <w:lang w:val="en-GB"/>
              </w:rPr>
              <w:t>1h)</w:t>
            </w:r>
          </w:p>
        </w:tc>
        <w:tc>
          <w:tcPr>
            <w:tcW w:w="2337" w:type="dxa"/>
            <w:tcBorders>
              <w:top w:val="nil"/>
              <w:left w:val="nil"/>
              <w:bottom w:val="single" w:sz="4" w:space="0" w:color="auto"/>
              <w:right w:val="single" w:sz="8" w:space="0" w:color="auto"/>
            </w:tcBorders>
            <w:shd w:val="clear" w:color="auto" w:fill="auto"/>
            <w:hideMark/>
          </w:tcPr>
          <w:p w14:paraId="44A58956" w14:textId="77777777" w:rsidR="00855637" w:rsidRPr="00995AAB" w:rsidRDefault="00855637" w:rsidP="00855637">
            <w:pPr>
              <w:rPr>
                <w:rFonts w:ascii="Calibri" w:hAnsi="Calibri"/>
                <w:color w:val="FF0000"/>
                <w:sz w:val="16"/>
                <w:szCs w:val="16"/>
                <w:lang w:val="en-GB"/>
              </w:rPr>
            </w:pPr>
            <w:r w:rsidRPr="00995AAB">
              <w:rPr>
                <w:rFonts w:ascii="Calibri" w:hAnsi="Calibri"/>
                <w:color w:val="FF0000"/>
                <w:sz w:val="16"/>
                <w:szCs w:val="16"/>
                <w:lang w:val="en-GB"/>
              </w:rPr>
              <w:t>1i)</w:t>
            </w:r>
          </w:p>
        </w:tc>
      </w:tr>
      <w:tr w:rsidR="00BE0EE0" w:rsidRPr="00080375" w14:paraId="5742031C" w14:textId="77777777" w:rsidTr="00EB357D">
        <w:trPr>
          <w:trHeight w:val="261"/>
        </w:trPr>
        <w:tc>
          <w:tcPr>
            <w:tcW w:w="2336" w:type="dxa"/>
            <w:tcBorders>
              <w:top w:val="nil"/>
              <w:left w:val="single" w:sz="8" w:space="0" w:color="auto"/>
              <w:bottom w:val="single" w:sz="4" w:space="0" w:color="auto"/>
              <w:right w:val="single" w:sz="4" w:space="0" w:color="auto"/>
            </w:tcBorders>
            <w:shd w:val="clear" w:color="000000" w:fill="D9D9D9"/>
            <w:hideMark/>
          </w:tcPr>
          <w:p w14:paraId="174D800C" w14:textId="77777777" w:rsidR="00855637" w:rsidRPr="00995AAB" w:rsidRDefault="00855637" w:rsidP="00855637">
            <w:pPr>
              <w:rPr>
                <w:rFonts w:ascii="Calibri" w:hAnsi="Calibri"/>
                <w:sz w:val="16"/>
                <w:szCs w:val="16"/>
                <w:lang w:val="en-GB"/>
              </w:rPr>
            </w:pPr>
            <w:r w:rsidRPr="00995AAB">
              <w:rPr>
                <w:rFonts w:ascii="Calibri" w:hAnsi="Calibri"/>
                <w:sz w:val="16"/>
                <w:szCs w:val="16"/>
                <w:lang w:val="en-GB"/>
              </w:rPr>
              <w:t>Scheduled Auction</w:t>
            </w:r>
          </w:p>
        </w:tc>
        <w:tc>
          <w:tcPr>
            <w:tcW w:w="2337" w:type="dxa"/>
            <w:tcBorders>
              <w:top w:val="nil"/>
              <w:left w:val="nil"/>
              <w:bottom w:val="single" w:sz="4" w:space="0" w:color="auto"/>
              <w:right w:val="single" w:sz="4" w:space="0" w:color="auto"/>
            </w:tcBorders>
            <w:shd w:val="clear" w:color="auto" w:fill="auto"/>
            <w:hideMark/>
          </w:tcPr>
          <w:p w14:paraId="133608D4" w14:textId="77777777" w:rsidR="00855637" w:rsidRPr="00995AAB" w:rsidRDefault="00855637" w:rsidP="00855637">
            <w:pPr>
              <w:rPr>
                <w:rFonts w:ascii="Calibri" w:hAnsi="Calibri"/>
                <w:color w:val="FF0000"/>
                <w:sz w:val="16"/>
                <w:szCs w:val="16"/>
                <w:lang w:val="en-GB"/>
              </w:rPr>
            </w:pPr>
            <w:r w:rsidRPr="00995AAB">
              <w:rPr>
                <w:rFonts w:ascii="Calibri" w:hAnsi="Calibri"/>
                <w:color w:val="FF0000"/>
                <w:sz w:val="16"/>
                <w:szCs w:val="16"/>
                <w:lang w:val="en-GB"/>
              </w:rPr>
              <w:t>1j)</w:t>
            </w:r>
          </w:p>
        </w:tc>
        <w:tc>
          <w:tcPr>
            <w:tcW w:w="2336" w:type="dxa"/>
            <w:tcBorders>
              <w:top w:val="nil"/>
              <w:left w:val="nil"/>
              <w:bottom w:val="single" w:sz="4" w:space="0" w:color="auto"/>
              <w:right w:val="single" w:sz="4" w:space="0" w:color="auto"/>
            </w:tcBorders>
            <w:shd w:val="clear" w:color="auto" w:fill="auto"/>
            <w:hideMark/>
          </w:tcPr>
          <w:p w14:paraId="1AFD76E6" w14:textId="77777777" w:rsidR="00855637" w:rsidRPr="00995AAB" w:rsidRDefault="00855637" w:rsidP="00855637">
            <w:pPr>
              <w:rPr>
                <w:rFonts w:ascii="Calibri" w:hAnsi="Calibri"/>
                <w:color w:val="FF0000"/>
                <w:sz w:val="16"/>
                <w:szCs w:val="16"/>
                <w:lang w:val="en-GB"/>
              </w:rPr>
            </w:pPr>
            <w:r w:rsidRPr="00995AAB">
              <w:rPr>
                <w:rFonts w:ascii="Calibri" w:hAnsi="Calibri"/>
                <w:color w:val="FF0000"/>
                <w:sz w:val="16"/>
                <w:szCs w:val="16"/>
                <w:lang w:val="en-GB"/>
              </w:rPr>
              <w:t>1k)</w:t>
            </w:r>
          </w:p>
        </w:tc>
        <w:tc>
          <w:tcPr>
            <w:tcW w:w="2337" w:type="dxa"/>
            <w:tcBorders>
              <w:top w:val="nil"/>
              <w:left w:val="nil"/>
              <w:bottom w:val="single" w:sz="4" w:space="0" w:color="auto"/>
              <w:right w:val="single" w:sz="8" w:space="0" w:color="auto"/>
            </w:tcBorders>
            <w:shd w:val="clear" w:color="auto" w:fill="auto"/>
            <w:hideMark/>
          </w:tcPr>
          <w:p w14:paraId="08C70CC8" w14:textId="77777777" w:rsidR="00855637" w:rsidRPr="00995AAB" w:rsidRDefault="00855637" w:rsidP="00855637">
            <w:pPr>
              <w:rPr>
                <w:rFonts w:ascii="Calibri" w:hAnsi="Calibri"/>
                <w:color w:val="FF0000"/>
                <w:sz w:val="16"/>
                <w:szCs w:val="16"/>
                <w:lang w:val="en-GB"/>
              </w:rPr>
            </w:pPr>
            <w:r w:rsidRPr="00995AAB">
              <w:rPr>
                <w:rFonts w:ascii="Calibri" w:hAnsi="Calibri"/>
                <w:color w:val="FF0000"/>
                <w:sz w:val="16"/>
                <w:szCs w:val="16"/>
                <w:lang w:val="en-GB"/>
              </w:rPr>
              <w:t>1l)</w:t>
            </w:r>
          </w:p>
        </w:tc>
      </w:tr>
      <w:tr w:rsidR="00BE0EE0" w:rsidRPr="00080375" w14:paraId="59D1D19E" w14:textId="77777777" w:rsidTr="00EB357D">
        <w:trPr>
          <w:trHeight w:val="261"/>
        </w:trPr>
        <w:tc>
          <w:tcPr>
            <w:tcW w:w="2336" w:type="dxa"/>
            <w:tcBorders>
              <w:top w:val="nil"/>
              <w:left w:val="single" w:sz="8" w:space="0" w:color="auto"/>
              <w:bottom w:val="single" w:sz="4" w:space="0" w:color="auto"/>
              <w:right w:val="single" w:sz="4" w:space="0" w:color="auto"/>
            </w:tcBorders>
            <w:shd w:val="clear" w:color="000000" w:fill="D9D9D9"/>
            <w:hideMark/>
          </w:tcPr>
          <w:p w14:paraId="1A7E3AB1" w14:textId="77777777" w:rsidR="00855637" w:rsidRPr="00995AAB" w:rsidRDefault="00855637" w:rsidP="00855637">
            <w:pPr>
              <w:rPr>
                <w:rFonts w:ascii="Calibri" w:hAnsi="Calibri"/>
                <w:sz w:val="16"/>
                <w:szCs w:val="16"/>
                <w:lang w:val="en-GB"/>
              </w:rPr>
            </w:pPr>
            <w:r w:rsidRPr="00995AAB">
              <w:rPr>
                <w:rFonts w:ascii="Calibri" w:hAnsi="Calibri"/>
                <w:sz w:val="16"/>
                <w:szCs w:val="16"/>
                <w:lang w:val="en-GB"/>
              </w:rPr>
              <w:t>Failed Transactions</w:t>
            </w:r>
          </w:p>
        </w:tc>
        <w:tc>
          <w:tcPr>
            <w:tcW w:w="2337" w:type="dxa"/>
            <w:tcBorders>
              <w:top w:val="nil"/>
              <w:left w:val="nil"/>
              <w:bottom w:val="single" w:sz="4" w:space="0" w:color="auto"/>
              <w:right w:val="single" w:sz="4" w:space="0" w:color="auto"/>
            </w:tcBorders>
            <w:shd w:val="clear" w:color="auto" w:fill="auto"/>
            <w:hideMark/>
          </w:tcPr>
          <w:p w14:paraId="779E52E4" w14:textId="77777777" w:rsidR="00855637" w:rsidRPr="00995AAB" w:rsidRDefault="00855637" w:rsidP="00855637">
            <w:pPr>
              <w:rPr>
                <w:rFonts w:ascii="Calibri" w:hAnsi="Calibri"/>
                <w:color w:val="FF0000"/>
                <w:sz w:val="16"/>
                <w:szCs w:val="16"/>
                <w:lang w:val="en-GB"/>
              </w:rPr>
            </w:pPr>
            <w:r w:rsidRPr="00995AAB">
              <w:rPr>
                <w:rFonts w:ascii="Calibri" w:hAnsi="Calibri"/>
                <w:color w:val="FF0000"/>
                <w:sz w:val="16"/>
                <w:szCs w:val="16"/>
                <w:lang w:val="en-GB"/>
              </w:rPr>
              <w:t> </w:t>
            </w:r>
          </w:p>
        </w:tc>
        <w:tc>
          <w:tcPr>
            <w:tcW w:w="2336" w:type="dxa"/>
            <w:tcBorders>
              <w:top w:val="nil"/>
              <w:left w:val="nil"/>
              <w:bottom w:val="single" w:sz="4" w:space="0" w:color="auto"/>
              <w:right w:val="single" w:sz="4" w:space="0" w:color="auto"/>
            </w:tcBorders>
            <w:shd w:val="clear" w:color="auto" w:fill="auto"/>
            <w:hideMark/>
          </w:tcPr>
          <w:p w14:paraId="0FDEF6AF" w14:textId="77777777" w:rsidR="00855637" w:rsidRPr="00995AAB" w:rsidRDefault="00855637" w:rsidP="00855637">
            <w:pPr>
              <w:rPr>
                <w:rFonts w:ascii="Calibri" w:hAnsi="Calibri"/>
                <w:color w:val="FF0000"/>
                <w:sz w:val="16"/>
                <w:szCs w:val="16"/>
                <w:lang w:val="en-GB"/>
              </w:rPr>
            </w:pPr>
            <w:r w:rsidRPr="00995AAB">
              <w:rPr>
                <w:rFonts w:ascii="Calibri" w:hAnsi="Calibri"/>
                <w:color w:val="FF0000"/>
                <w:sz w:val="16"/>
                <w:szCs w:val="16"/>
                <w:lang w:val="en-GB"/>
              </w:rPr>
              <w:t>1m)</w:t>
            </w:r>
          </w:p>
        </w:tc>
        <w:tc>
          <w:tcPr>
            <w:tcW w:w="2337" w:type="dxa"/>
            <w:tcBorders>
              <w:top w:val="nil"/>
              <w:left w:val="nil"/>
              <w:bottom w:val="single" w:sz="4" w:space="0" w:color="auto"/>
              <w:right w:val="single" w:sz="8" w:space="0" w:color="auto"/>
            </w:tcBorders>
            <w:shd w:val="clear" w:color="auto" w:fill="auto"/>
            <w:hideMark/>
          </w:tcPr>
          <w:p w14:paraId="77AA42CE" w14:textId="77777777" w:rsidR="00855637" w:rsidRPr="00995AAB" w:rsidRDefault="00855637" w:rsidP="00855637">
            <w:pPr>
              <w:rPr>
                <w:rFonts w:ascii="Calibri" w:hAnsi="Calibri"/>
                <w:color w:val="FF0000"/>
                <w:sz w:val="16"/>
                <w:szCs w:val="16"/>
                <w:lang w:val="en-GB"/>
              </w:rPr>
            </w:pPr>
            <w:r w:rsidRPr="00995AAB">
              <w:rPr>
                <w:rFonts w:ascii="Calibri" w:hAnsi="Calibri"/>
                <w:color w:val="FF0000"/>
                <w:sz w:val="16"/>
                <w:szCs w:val="16"/>
                <w:lang w:val="en-GB"/>
              </w:rPr>
              <w:t>1n)</w:t>
            </w:r>
          </w:p>
        </w:tc>
      </w:tr>
    </w:tbl>
    <w:p w14:paraId="6163931B" w14:textId="77777777" w:rsidR="003E0625" w:rsidRPr="00995AAB" w:rsidRDefault="003E0625" w:rsidP="00554CF0">
      <w:pPr>
        <w:rPr>
          <w:lang w:val="en-GB"/>
        </w:rPr>
      </w:pPr>
    </w:p>
    <w:tbl>
      <w:tblPr>
        <w:tblW w:w="9346" w:type="dxa"/>
        <w:tblLook w:val="04A0" w:firstRow="1" w:lastRow="0" w:firstColumn="1" w:lastColumn="0" w:noHBand="0" w:noVBand="1"/>
      </w:tblPr>
      <w:tblGrid>
        <w:gridCol w:w="2336"/>
        <w:gridCol w:w="2337"/>
        <w:gridCol w:w="2336"/>
        <w:gridCol w:w="2337"/>
      </w:tblGrid>
      <w:tr w:rsidR="00AC77FA" w:rsidRPr="00080375" w14:paraId="12D50AEF" w14:textId="77777777" w:rsidTr="00300C18">
        <w:trPr>
          <w:trHeight w:val="261"/>
        </w:trPr>
        <w:tc>
          <w:tcPr>
            <w:tcW w:w="2336" w:type="dxa"/>
            <w:tcBorders>
              <w:top w:val="single" w:sz="8" w:space="0" w:color="auto"/>
              <w:left w:val="single" w:sz="8" w:space="0" w:color="auto"/>
              <w:bottom w:val="single" w:sz="4" w:space="0" w:color="auto"/>
              <w:right w:val="single" w:sz="4" w:space="0" w:color="auto"/>
            </w:tcBorders>
            <w:shd w:val="clear" w:color="000000" w:fill="D9D9D9"/>
            <w:hideMark/>
          </w:tcPr>
          <w:p w14:paraId="440F648D" w14:textId="77777777" w:rsidR="00AC77FA" w:rsidRPr="00995AAB" w:rsidRDefault="00AC77FA">
            <w:pPr>
              <w:rPr>
                <w:rFonts w:ascii="Calibri" w:hAnsi="Calibri"/>
                <w:sz w:val="16"/>
                <w:szCs w:val="16"/>
                <w:lang w:val="en-GB"/>
              </w:rPr>
            </w:pPr>
            <w:r w:rsidRPr="00995AAB">
              <w:rPr>
                <w:rFonts w:ascii="Calibri" w:hAnsi="Calibri"/>
                <w:sz w:val="16"/>
                <w:szCs w:val="16"/>
                <w:lang w:val="en-GB"/>
              </w:rPr>
              <w:t>Venue as a Market Maker</w:t>
            </w:r>
          </w:p>
        </w:tc>
        <w:tc>
          <w:tcPr>
            <w:tcW w:w="2337" w:type="dxa"/>
            <w:tcBorders>
              <w:top w:val="single" w:sz="8" w:space="0" w:color="auto"/>
              <w:left w:val="nil"/>
              <w:bottom w:val="single" w:sz="4" w:space="0" w:color="auto"/>
              <w:right w:val="single" w:sz="4" w:space="0" w:color="auto"/>
            </w:tcBorders>
            <w:shd w:val="clear" w:color="auto" w:fill="auto"/>
            <w:hideMark/>
          </w:tcPr>
          <w:p w14:paraId="1D9144B9" w14:textId="77777777" w:rsidR="00AC77FA" w:rsidRPr="00995AAB" w:rsidRDefault="00AC77FA" w:rsidP="00300C18">
            <w:pPr>
              <w:rPr>
                <w:rFonts w:ascii="Calibri" w:hAnsi="Calibri"/>
                <w:color w:val="FF0000"/>
                <w:sz w:val="16"/>
                <w:szCs w:val="16"/>
                <w:lang w:val="en-GB"/>
              </w:rPr>
            </w:pPr>
            <w:r w:rsidRPr="00995AAB">
              <w:rPr>
                <w:rFonts w:ascii="Calibri" w:hAnsi="Calibri"/>
                <w:color w:val="FF0000"/>
                <w:sz w:val="16"/>
                <w:szCs w:val="16"/>
                <w:lang w:val="en-GB"/>
              </w:rPr>
              <w:t>1a)</w:t>
            </w:r>
          </w:p>
        </w:tc>
        <w:tc>
          <w:tcPr>
            <w:tcW w:w="2336" w:type="dxa"/>
            <w:tcBorders>
              <w:top w:val="single" w:sz="8" w:space="0" w:color="auto"/>
              <w:left w:val="nil"/>
              <w:bottom w:val="single" w:sz="4" w:space="0" w:color="auto"/>
              <w:right w:val="single" w:sz="4" w:space="0" w:color="auto"/>
            </w:tcBorders>
            <w:shd w:val="clear" w:color="auto" w:fill="auto"/>
            <w:hideMark/>
          </w:tcPr>
          <w:p w14:paraId="69063C54" w14:textId="77777777" w:rsidR="00AC77FA" w:rsidRPr="00995AAB" w:rsidRDefault="00AC77FA" w:rsidP="00300C18">
            <w:pPr>
              <w:rPr>
                <w:rFonts w:ascii="Calibri" w:hAnsi="Calibri"/>
                <w:color w:val="FF0000"/>
                <w:sz w:val="16"/>
                <w:szCs w:val="16"/>
                <w:lang w:val="en-GB"/>
              </w:rPr>
            </w:pPr>
            <w:r w:rsidRPr="00995AAB">
              <w:rPr>
                <w:rFonts w:ascii="Calibri" w:hAnsi="Calibri"/>
                <w:color w:val="FF0000"/>
                <w:sz w:val="16"/>
                <w:szCs w:val="16"/>
                <w:lang w:val="en-GB"/>
              </w:rPr>
              <w:t>1b)</w:t>
            </w:r>
          </w:p>
        </w:tc>
        <w:tc>
          <w:tcPr>
            <w:tcW w:w="2337" w:type="dxa"/>
            <w:tcBorders>
              <w:top w:val="single" w:sz="8" w:space="0" w:color="auto"/>
              <w:left w:val="nil"/>
              <w:bottom w:val="single" w:sz="4" w:space="0" w:color="auto"/>
              <w:right w:val="single" w:sz="8" w:space="0" w:color="auto"/>
            </w:tcBorders>
            <w:shd w:val="clear" w:color="auto" w:fill="auto"/>
            <w:hideMark/>
          </w:tcPr>
          <w:p w14:paraId="2F455B87" w14:textId="77777777" w:rsidR="00AC77FA" w:rsidRPr="00995AAB" w:rsidRDefault="00AC77FA" w:rsidP="00300C18">
            <w:pPr>
              <w:rPr>
                <w:rFonts w:ascii="Calibri" w:hAnsi="Calibri"/>
                <w:color w:val="FF0000"/>
                <w:sz w:val="16"/>
                <w:szCs w:val="16"/>
                <w:lang w:val="en-GB"/>
              </w:rPr>
            </w:pPr>
            <w:r w:rsidRPr="00995AAB">
              <w:rPr>
                <w:rFonts w:ascii="Calibri" w:hAnsi="Calibri"/>
                <w:color w:val="FF0000"/>
                <w:sz w:val="16"/>
                <w:szCs w:val="16"/>
                <w:lang w:val="en-GB"/>
              </w:rPr>
              <w:t> </w:t>
            </w:r>
          </w:p>
        </w:tc>
      </w:tr>
      <w:tr w:rsidR="00AC77FA" w:rsidRPr="00080375" w14:paraId="6B9F1D62" w14:textId="77777777" w:rsidTr="00300C18">
        <w:trPr>
          <w:trHeight w:val="261"/>
        </w:trPr>
        <w:tc>
          <w:tcPr>
            <w:tcW w:w="2336" w:type="dxa"/>
            <w:tcBorders>
              <w:top w:val="nil"/>
              <w:left w:val="single" w:sz="8" w:space="0" w:color="auto"/>
              <w:bottom w:val="single" w:sz="4" w:space="0" w:color="auto"/>
              <w:right w:val="single" w:sz="4" w:space="0" w:color="auto"/>
            </w:tcBorders>
            <w:shd w:val="clear" w:color="000000" w:fill="D9D9D9"/>
            <w:hideMark/>
          </w:tcPr>
          <w:p w14:paraId="121131D8" w14:textId="77777777" w:rsidR="00AC77FA" w:rsidRPr="00995AAB" w:rsidRDefault="00AC77FA" w:rsidP="00300C18">
            <w:pPr>
              <w:rPr>
                <w:rFonts w:ascii="Calibri" w:hAnsi="Calibri"/>
                <w:sz w:val="16"/>
                <w:szCs w:val="16"/>
                <w:lang w:val="en-GB"/>
              </w:rPr>
            </w:pPr>
            <w:r w:rsidRPr="00995AAB">
              <w:rPr>
                <w:rFonts w:ascii="Calibri" w:hAnsi="Calibri"/>
                <w:sz w:val="16"/>
                <w:szCs w:val="16"/>
                <w:lang w:val="en-GB"/>
              </w:rPr>
              <w:t>Country of Competent Authority</w:t>
            </w:r>
          </w:p>
        </w:tc>
        <w:tc>
          <w:tcPr>
            <w:tcW w:w="2337" w:type="dxa"/>
            <w:tcBorders>
              <w:top w:val="nil"/>
              <w:left w:val="nil"/>
              <w:bottom w:val="single" w:sz="4" w:space="0" w:color="auto"/>
              <w:right w:val="single" w:sz="4" w:space="0" w:color="auto"/>
            </w:tcBorders>
            <w:shd w:val="clear" w:color="auto" w:fill="auto"/>
            <w:hideMark/>
          </w:tcPr>
          <w:p w14:paraId="38B1D5BB" w14:textId="77777777" w:rsidR="00AC77FA" w:rsidRPr="00995AAB" w:rsidRDefault="00AC77FA" w:rsidP="00300C18">
            <w:pPr>
              <w:rPr>
                <w:rFonts w:ascii="Calibri" w:hAnsi="Calibri"/>
                <w:color w:val="FF0000"/>
                <w:sz w:val="16"/>
                <w:szCs w:val="16"/>
                <w:lang w:val="en-GB"/>
              </w:rPr>
            </w:pPr>
            <w:r w:rsidRPr="00995AAB">
              <w:rPr>
                <w:rFonts w:ascii="Calibri" w:hAnsi="Calibri"/>
                <w:color w:val="FF0000"/>
                <w:sz w:val="16"/>
                <w:szCs w:val="16"/>
                <w:lang w:val="en-GB"/>
              </w:rPr>
              <w:t>1c)</w:t>
            </w:r>
          </w:p>
        </w:tc>
        <w:tc>
          <w:tcPr>
            <w:tcW w:w="2336" w:type="dxa"/>
            <w:tcBorders>
              <w:top w:val="nil"/>
              <w:left w:val="nil"/>
              <w:bottom w:val="single" w:sz="4" w:space="0" w:color="auto"/>
              <w:right w:val="single" w:sz="4" w:space="0" w:color="auto"/>
            </w:tcBorders>
            <w:shd w:val="clear" w:color="auto" w:fill="auto"/>
            <w:hideMark/>
          </w:tcPr>
          <w:p w14:paraId="19612B7F" w14:textId="77777777" w:rsidR="00AC77FA" w:rsidRPr="00995AAB" w:rsidRDefault="00AC77FA" w:rsidP="00300C18">
            <w:pPr>
              <w:rPr>
                <w:rFonts w:ascii="Calibri" w:hAnsi="Calibri"/>
                <w:color w:val="FF0000"/>
                <w:sz w:val="16"/>
                <w:szCs w:val="16"/>
                <w:lang w:val="en-GB"/>
              </w:rPr>
            </w:pPr>
            <w:r w:rsidRPr="00995AAB">
              <w:rPr>
                <w:rFonts w:ascii="Calibri" w:hAnsi="Calibri"/>
                <w:color w:val="FF0000"/>
                <w:sz w:val="16"/>
                <w:szCs w:val="16"/>
                <w:lang w:val="en-GB"/>
              </w:rPr>
              <w:t> </w:t>
            </w:r>
          </w:p>
        </w:tc>
        <w:tc>
          <w:tcPr>
            <w:tcW w:w="2337" w:type="dxa"/>
            <w:tcBorders>
              <w:top w:val="nil"/>
              <w:left w:val="nil"/>
              <w:bottom w:val="single" w:sz="4" w:space="0" w:color="auto"/>
              <w:right w:val="single" w:sz="8" w:space="0" w:color="auto"/>
            </w:tcBorders>
            <w:shd w:val="clear" w:color="auto" w:fill="auto"/>
            <w:hideMark/>
          </w:tcPr>
          <w:p w14:paraId="3FCE6255" w14:textId="77777777" w:rsidR="00AC77FA" w:rsidRPr="00995AAB" w:rsidRDefault="00AC77FA" w:rsidP="00300C18">
            <w:pPr>
              <w:rPr>
                <w:rFonts w:ascii="Calibri" w:hAnsi="Calibri"/>
                <w:color w:val="FF0000"/>
                <w:sz w:val="16"/>
                <w:szCs w:val="16"/>
                <w:lang w:val="en-GB"/>
              </w:rPr>
            </w:pPr>
            <w:r w:rsidRPr="00995AAB">
              <w:rPr>
                <w:rFonts w:ascii="Calibri" w:hAnsi="Calibri"/>
                <w:color w:val="FF0000"/>
                <w:sz w:val="16"/>
                <w:szCs w:val="16"/>
                <w:lang w:val="en-GB"/>
              </w:rPr>
              <w:t> </w:t>
            </w:r>
          </w:p>
        </w:tc>
      </w:tr>
      <w:tr w:rsidR="00AC77FA" w:rsidRPr="00080375" w14:paraId="4583C17D" w14:textId="77777777" w:rsidTr="00300C18">
        <w:trPr>
          <w:trHeight w:val="261"/>
        </w:trPr>
        <w:tc>
          <w:tcPr>
            <w:tcW w:w="2336" w:type="dxa"/>
            <w:tcBorders>
              <w:top w:val="nil"/>
              <w:left w:val="single" w:sz="8" w:space="0" w:color="auto"/>
              <w:bottom w:val="single" w:sz="4" w:space="0" w:color="auto"/>
              <w:right w:val="single" w:sz="4" w:space="0" w:color="auto"/>
            </w:tcBorders>
            <w:shd w:val="clear" w:color="000000" w:fill="D9D9D9"/>
            <w:hideMark/>
          </w:tcPr>
          <w:p w14:paraId="523735E2" w14:textId="77777777" w:rsidR="00AC77FA" w:rsidRPr="00995AAB" w:rsidRDefault="00AC77FA" w:rsidP="00300C18">
            <w:pPr>
              <w:rPr>
                <w:rFonts w:ascii="Calibri" w:hAnsi="Calibri"/>
                <w:sz w:val="16"/>
                <w:szCs w:val="16"/>
                <w:lang w:val="en-GB"/>
              </w:rPr>
            </w:pPr>
            <w:r w:rsidRPr="00995AAB">
              <w:rPr>
                <w:rFonts w:ascii="Calibri" w:hAnsi="Calibri"/>
                <w:sz w:val="16"/>
                <w:szCs w:val="16"/>
                <w:lang w:val="en-GB"/>
              </w:rPr>
              <w:t>Market Segment</w:t>
            </w:r>
          </w:p>
        </w:tc>
        <w:tc>
          <w:tcPr>
            <w:tcW w:w="2337" w:type="dxa"/>
            <w:tcBorders>
              <w:top w:val="nil"/>
              <w:left w:val="nil"/>
              <w:bottom w:val="single" w:sz="4" w:space="0" w:color="auto"/>
              <w:right w:val="single" w:sz="4" w:space="0" w:color="auto"/>
            </w:tcBorders>
            <w:shd w:val="clear" w:color="auto" w:fill="auto"/>
            <w:hideMark/>
          </w:tcPr>
          <w:p w14:paraId="2B1AED8E" w14:textId="77777777" w:rsidR="00AC77FA" w:rsidRPr="00995AAB" w:rsidRDefault="00AC77FA" w:rsidP="00300C18">
            <w:pPr>
              <w:rPr>
                <w:rFonts w:ascii="Calibri" w:hAnsi="Calibri"/>
                <w:color w:val="FF0000"/>
                <w:sz w:val="16"/>
                <w:szCs w:val="16"/>
                <w:lang w:val="en-GB"/>
              </w:rPr>
            </w:pPr>
            <w:r w:rsidRPr="00995AAB">
              <w:rPr>
                <w:rFonts w:ascii="Calibri" w:hAnsi="Calibri"/>
                <w:color w:val="FF0000"/>
                <w:sz w:val="16"/>
                <w:szCs w:val="16"/>
                <w:lang w:val="en-GB"/>
              </w:rPr>
              <w:t>1d)</w:t>
            </w:r>
          </w:p>
        </w:tc>
        <w:tc>
          <w:tcPr>
            <w:tcW w:w="2336" w:type="dxa"/>
            <w:tcBorders>
              <w:top w:val="nil"/>
              <w:left w:val="nil"/>
              <w:bottom w:val="single" w:sz="4" w:space="0" w:color="auto"/>
              <w:right w:val="single" w:sz="4" w:space="0" w:color="auto"/>
            </w:tcBorders>
            <w:shd w:val="clear" w:color="auto" w:fill="auto"/>
            <w:hideMark/>
          </w:tcPr>
          <w:p w14:paraId="43181AE1" w14:textId="77777777" w:rsidR="00AC77FA" w:rsidRPr="00995AAB" w:rsidRDefault="00AC77FA" w:rsidP="00300C18">
            <w:pPr>
              <w:rPr>
                <w:rFonts w:ascii="Calibri" w:hAnsi="Calibri"/>
                <w:color w:val="FF0000"/>
                <w:sz w:val="16"/>
                <w:szCs w:val="16"/>
                <w:lang w:val="en-GB"/>
              </w:rPr>
            </w:pPr>
            <w:r w:rsidRPr="00995AAB">
              <w:rPr>
                <w:rFonts w:ascii="Calibri" w:hAnsi="Calibri"/>
                <w:color w:val="FF0000"/>
                <w:sz w:val="16"/>
                <w:szCs w:val="16"/>
                <w:lang w:val="en-GB"/>
              </w:rPr>
              <w:t>1e)</w:t>
            </w:r>
          </w:p>
        </w:tc>
        <w:tc>
          <w:tcPr>
            <w:tcW w:w="2337" w:type="dxa"/>
            <w:tcBorders>
              <w:top w:val="nil"/>
              <w:left w:val="nil"/>
              <w:bottom w:val="single" w:sz="4" w:space="0" w:color="auto"/>
              <w:right w:val="single" w:sz="8" w:space="0" w:color="auto"/>
            </w:tcBorders>
            <w:shd w:val="clear" w:color="auto" w:fill="auto"/>
            <w:hideMark/>
          </w:tcPr>
          <w:p w14:paraId="0ECC0FB8" w14:textId="77777777" w:rsidR="00AC77FA" w:rsidRPr="00995AAB" w:rsidRDefault="00AC77FA" w:rsidP="00300C18">
            <w:pPr>
              <w:rPr>
                <w:rFonts w:ascii="Calibri" w:hAnsi="Calibri"/>
                <w:color w:val="FF0000"/>
                <w:sz w:val="16"/>
                <w:szCs w:val="16"/>
                <w:lang w:val="en-GB"/>
              </w:rPr>
            </w:pPr>
            <w:r w:rsidRPr="00995AAB">
              <w:rPr>
                <w:rFonts w:ascii="Calibri" w:hAnsi="Calibri"/>
                <w:color w:val="FF0000"/>
                <w:sz w:val="16"/>
                <w:szCs w:val="16"/>
                <w:lang w:val="en-GB"/>
              </w:rPr>
              <w:t> </w:t>
            </w:r>
          </w:p>
        </w:tc>
      </w:tr>
      <w:tr w:rsidR="00AC77FA" w:rsidRPr="00080375" w14:paraId="0FB01A98" w14:textId="77777777" w:rsidTr="00300C18">
        <w:trPr>
          <w:trHeight w:val="261"/>
        </w:trPr>
        <w:tc>
          <w:tcPr>
            <w:tcW w:w="2336" w:type="dxa"/>
            <w:tcBorders>
              <w:top w:val="nil"/>
              <w:left w:val="single" w:sz="8" w:space="0" w:color="auto"/>
              <w:bottom w:val="single" w:sz="4" w:space="0" w:color="auto"/>
              <w:right w:val="single" w:sz="4" w:space="0" w:color="auto"/>
            </w:tcBorders>
            <w:shd w:val="clear" w:color="000000" w:fill="D9D9D9"/>
            <w:hideMark/>
          </w:tcPr>
          <w:p w14:paraId="6AA2A25D" w14:textId="77777777" w:rsidR="00AC77FA" w:rsidRPr="00995AAB" w:rsidRDefault="00AC77FA" w:rsidP="00300C18">
            <w:pPr>
              <w:rPr>
                <w:rFonts w:ascii="Calibri" w:hAnsi="Calibri"/>
                <w:sz w:val="16"/>
                <w:szCs w:val="16"/>
                <w:lang w:val="en-GB"/>
              </w:rPr>
            </w:pPr>
            <w:r w:rsidRPr="00995AAB">
              <w:rPr>
                <w:rFonts w:ascii="Calibri" w:hAnsi="Calibri"/>
                <w:sz w:val="16"/>
                <w:szCs w:val="16"/>
                <w:lang w:val="en-GB"/>
              </w:rPr>
              <w:t>Date</w:t>
            </w:r>
          </w:p>
        </w:tc>
        <w:tc>
          <w:tcPr>
            <w:tcW w:w="2337" w:type="dxa"/>
            <w:tcBorders>
              <w:top w:val="nil"/>
              <w:left w:val="nil"/>
              <w:bottom w:val="single" w:sz="4" w:space="0" w:color="auto"/>
              <w:right w:val="single" w:sz="4" w:space="0" w:color="auto"/>
            </w:tcBorders>
            <w:shd w:val="clear" w:color="auto" w:fill="auto"/>
            <w:hideMark/>
          </w:tcPr>
          <w:p w14:paraId="7C3BAE56" w14:textId="77777777" w:rsidR="00AC77FA" w:rsidRPr="00995AAB" w:rsidRDefault="00AC77FA" w:rsidP="00300C18">
            <w:pPr>
              <w:rPr>
                <w:rFonts w:ascii="Calibri" w:hAnsi="Calibri"/>
                <w:color w:val="FF0000"/>
                <w:sz w:val="16"/>
                <w:szCs w:val="16"/>
                <w:lang w:val="en-GB"/>
              </w:rPr>
            </w:pPr>
            <w:r w:rsidRPr="00995AAB">
              <w:rPr>
                <w:rFonts w:ascii="Calibri" w:hAnsi="Calibri"/>
                <w:color w:val="FF0000"/>
                <w:sz w:val="16"/>
                <w:szCs w:val="16"/>
                <w:lang w:val="en-GB"/>
              </w:rPr>
              <w:t>1f)</w:t>
            </w:r>
          </w:p>
        </w:tc>
        <w:tc>
          <w:tcPr>
            <w:tcW w:w="2336" w:type="dxa"/>
            <w:tcBorders>
              <w:top w:val="nil"/>
              <w:left w:val="nil"/>
              <w:bottom w:val="single" w:sz="4" w:space="0" w:color="auto"/>
              <w:right w:val="single" w:sz="4" w:space="0" w:color="auto"/>
            </w:tcBorders>
            <w:shd w:val="clear" w:color="auto" w:fill="auto"/>
            <w:hideMark/>
          </w:tcPr>
          <w:p w14:paraId="189C104E" w14:textId="77777777" w:rsidR="00AC77FA" w:rsidRPr="00995AAB" w:rsidRDefault="00AC77FA" w:rsidP="00300C18">
            <w:pPr>
              <w:rPr>
                <w:rFonts w:ascii="Calibri" w:hAnsi="Calibri"/>
                <w:color w:val="FF0000"/>
                <w:sz w:val="16"/>
                <w:szCs w:val="16"/>
                <w:lang w:val="en-GB"/>
              </w:rPr>
            </w:pPr>
            <w:r w:rsidRPr="00995AAB">
              <w:rPr>
                <w:rFonts w:ascii="Calibri" w:hAnsi="Calibri"/>
                <w:color w:val="FF0000"/>
                <w:sz w:val="16"/>
                <w:szCs w:val="16"/>
                <w:lang w:val="en-GB"/>
              </w:rPr>
              <w:t> </w:t>
            </w:r>
          </w:p>
        </w:tc>
        <w:tc>
          <w:tcPr>
            <w:tcW w:w="2337" w:type="dxa"/>
            <w:tcBorders>
              <w:top w:val="nil"/>
              <w:left w:val="nil"/>
              <w:bottom w:val="single" w:sz="4" w:space="0" w:color="auto"/>
              <w:right w:val="single" w:sz="8" w:space="0" w:color="auto"/>
            </w:tcBorders>
            <w:shd w:val="clear" w:color="auto" w:fill="auto"/>
            <w:hideMark/>
          </w:tcPr>
          <w:p w14:paraId="362A4BF1" w14:textId="77777777" w:rsidR="00AC77FA" w:rsidRPr="00995AAB" w:rsidRDefault="00AC77FA" w:rsidP="00300C18">
            <w:pPr>
              <w:rPr>
                <w:rFonts w:ascii="Calibri" w:hAnsi="Calibri"/>
                <w:color w:val="FF0000"/>
                <w:sz w:val="16"/>
                <w:szCs w:val="16"/>
                <w:lang w:val="en-GB"/>
              </w:rPr>
            </w:pPr>
            <w:r w:rsidRPr="00995AAB">
              <w:rPr>
                <w:rFonts w:ascii="Calibri" w:hAnsi="Calibri"/>
                <w:color w:val="FF0000"/>
                <w:sz w:val="16"/>
                <w:szCs w:val="16"/>
                <w:lang w:val="en-GB"/>
              </w:rPr>
              <w:t> </w:t>
            </w:r>
          </w:p>
        </w:tc>
      </w:tr>
      <w:tr w:rsidR="00AC77FA" w:rsidRPr="00080375" w14:paraId="17C47CF3" w14:textId="77777777" w:rsidTr="00300C18">
        <w:trPr>
          <w:trHeight w:val="261"/>
        </w:trPr>
        <w:tc>
          <w:tcPr>
            <w:tcW w:w="2336" w:type="dxa"/>
            <w:tcBorders>
              <w:top w:val="nil"/>
              <w:left w:val="single" w:sz="8" w:space="0" w:color="auto"/>
              <w:bottom w:val="single" w:sz="4" w:space="0" w:color="auto"/>
              <w:right w:val="single" w:sz="4" w:space="0" w:color="auto"/>
            </w:tcBorders>
            <w:shd w:val="clear" w:color="000000" w:fill="D9D9D9"/>
            <w:hideMark/>
          </w:tcPr>
          <w:p w14:paraId="71F8FBFA" w14:textId="77777777" w:rsidR="00AC77FA" w:rsidRPr="00995AAB" w:rsidRDefault="00AC77FA" w:rsidP="00300C18">
            <w:pPr>
              <w:rPr>
                <w:rFonts w:ascii="Calibri" w:hAnsi="Calibri"/>
                <w:sz w:val="16"/>
                <w:szCs w:val="16"/>
                <w:lang w:val="en-GB"/>
              </w:rPr>
            </w:pPr>
            <w:r w:rsidRPr="00995AAB">
              <w:rPr>
                <w:rFonts w:ascii="Calibri" w:hAnsi="Calibri"/>
                <w:sz w:val="16"/>
                <w:szCs w:val="16"/>
                <w:lang w:val="en-GB"/>
              </w:rPr>
              <w:t>Outages</w:t>
            </w:r>
          </w:p>
        </w:tc>
        <w:tc>
          <w:tcPr>
            <w:tcW w:w="2337" w:type="dxa"/>
            <w:tcBorders>
              <w:top w:val="nil"/>
              <w:left w:val="nil"/>
              <w:bottom w:val="single" w:sz="4" w:space="0" w:color="auto"/>
              <w:right w:val="single" w:sz="4" w:space="0" w:color="auto"/>
            </w:tcBorders>
            <w:shd w:val="clear" w:color="auto" w:fill="auto"/>
            <w:hideMark/>
          </w:tcPr>
          <w:p w14:paraId="77E79FF3" w14:textId="77777777" w:rsidR="00AC77FA" w:rsidRPr="00995AAB" w:rsidRDefault="00AC77FA" w:rsidP="00300C18">
            <w:pPr>
              <w:rPr>
                <w:rFonts w:ascii="Calibri" w:hAnsi="Calibri"/>
                <w:color w:val="FF0000"/>
                <w:sz w:val="16"/>
                <w:szCs w:val="16"/>
                <w:lang w:val="en-GB"/>
              </w:rPr>
            </w:pPr>
            <w:r w:rsidRPr="00995AAB">
              <w:rPr>
                <w:rFonts w:ascii="Calibri" w:hAnsi="Calibri"/>
                <w:color w:val="FF0000"/>
                <w:sz w:val="16"/>
                <w:szCs w:val="16"/>
                <w:lang w:val="en-GB"/>
              </w:rPr>
              <w:t>1g)</w:t>
            </w:r>
          </w:p>
        </w:tc>
        <w:tc>
          <w:tcPr>
            <w:tcW w:w="2336" w:type="dxa"/>
            <w:tcBorders>
              <w:top w:val="nil"/>
              <w:left w:val="nil"/>
              <w:bottom w:val="single" w:sz="4" w:space="0" w:color="auto"/>
              <w:right w:val="single" w:sz="4" w:space="0" w:color="auto"/>
            </w:tcBorders>
            <w:shd w:val="clear" w:color="auto" w:fill="auto"/>
            <w:hideMark/>
          </w:tcPr>
          <w:p w14:paraId="0BF0307B" w14:textId="77777777" w:rsidR="00AC77FA" w:rsidRPr="00995AAB" w:rsidRDefault="00AC77FA" w:rsidP="00300C18">
            <w:pPr>
              <w:rPr>
                <w:rFonts w:ascii="Calibri" w:hAnsi="Calibri"/>
                <w:color w:val="FF0000"/>
                <w:sz w:val="16"/>
                <w:szCs w:val="16"/>
                <w:lang w:val="en-GB"/>
              </w:rPr>
            </w:pPr>
            <w:r w:rsidRPr="00995AAB">
              <w:rPr>
                <w:rFonts w:ascii="Calibri" w:hAnsi="Calibri"/>
                <w:color w:val="FF0000"/>
                <w:sz w:val="16"/>
                <w:szCs w:val="16"/>
                <w:lang w:val="en-GB"/>
              </w:rPr>
              <w:t>1h)</w:t>
            </w:r>
          </w:p>
        </w:tc>
        <w:tc>
          <w:tcPr>
            <w:tcW w:w="2337" w:type="dxa"/>
            <w:tcBorders>
              <w:top w:val="nil"/>
              <w:left w:val="nil"/>
              <w:bottom w:val="single" w:sz="4" w:space="0" w:color="auto"/>
              <w:right w:val="single" w:sz="8" w:space="0" w:color="auto"/>
            </w:tcBorders>
            <w:shd w:val="clear" w:color="auto" w:fill="auto"/>
            <w:hideMark/>
          </w:tcPr>
          <w:p w14:paraId="18809443" w14:textId="77777777" w:rsidR="00AC77FA" w:rsidRPr="00995AAB" w:rsidRDefault="00AC77FA" w:rsidP="00300C18">
            <w:pPr>
              <w:rPr>
                <w:rFonts w:ascii="Calibri" w:hAnsi="Calibri"/>
                <w:color w:val="FF0000"/>
                <w:sz w:val="16"/>
                <w:szCs w:val="16"/>
                <w:lang w:val="en-GB"/>
              </w:rPr>
            </w:pPr>
            <w:r w:rsidRPr="00995AAB">
              <w:rPr>
                <w:rFonts w:ascii="Calibri" w:hAnsi="Calibri"/>
                <w:color w:val="FF0000"/>
                <w:sz w:val="16"/>
                <w:szCs w:val="16"/>
                <w:lang w:val="en-GB"/>
              </w:rPr>
              <w:t>1i)</w:t>
            </w:r>
          </w:p>
        </w:tc>
      </w:tr>
      <w:tr w:rsidR="00AC77FA" w:rsidRPr="00080375" w14:paraId="18B4B994" w14:textId="77777777" w:rsidTr="00300C18">
        <w:trPr>
          <w:trHeight w:val="261"/>
        </w:trPr>
        <w:tc>
          <w:tcPr>
            <w:tcW w:w="2336" w:type="dxa"/>
            <w:tcBorders>
              <w:top w:val="nil"/>
              <w:left w:val="single" w:sz="8" w:space="0" w:color="auto"/>
              <w:bottom w:val="single" w:sz="4" w:space="0" w:color="auto"/>
              <w:right w:val="single" w:sz="4" w:space="0" w:color="auto"/>
            </w:tcBorders>
            <w:shd w:val="clear" w:color="000000" w:fill="D9D9D9"/>
            <w:hideMark/>
          </w:tcPr>
          <w:p w14:paraId="67FA2900" w14:textId="77777777" w:rsidR="00AC77FA" w:rsidRPr="00995AAB" w:rsidRDefault="00AC77FA" w:rsidP="00300C18">
            <w:pPr>
              <w:rPr>
                <w:rFonts w:ascii="Calibri" w:hAnsi="Calibri"/>
                <w:sz w:val="16"/>
                <w:szCs w:val="16"/>
                <w:lang w:val="en-GB"/>
              </w:rPr>
            </w:pPr>
            <w:r w:rsidRPr="00995AAB">
              <w:rPr>
                <w:rFonts w:ascii="Calibri" w:hAnsi="Calibri"/>
                <w:sz w:val="16"/>
                <w:szCs w:val="16"/>
                <w:lang w:val="en-GB"/>
              </w:rPr>
              <w:t>Scheduled Auction</w:t>
            </w:r>
          </w:p>
        </w:tc>
        <w:tc>
          <w:tcPr>
            <w:tcW w:w="2337" w:type="dxa"/>
            <w:tcBorders>
              <w:top w:val="nil"/>
              <w:left w:val="nil"/>
              <w:bottom w:val="single" w:sz="4" w:space="0" w:color="auto"/>
              <w:right w:val="single" w:sz="4" w:space="0" w:color="auto"/>
            </w:tcBorders>
            <w:shd w:val="clear" w:color="auto" w:fill="auto"/>
            <w:hideMark/>
          </w:tcPr>
          <w:p w14:paraId="0303E415" w14:textId="77777777" w:rsidR="00AC77FA" w:rsidRPr="00995AAB" w:rsidRDefault="00AC77FA" w:rsidP="00300C18">
            <w:pPr>
              <w:rPr>
                <w:rFonts w:ascii="Calibri" w:hAnsi="Calibri"/>
                <w:color w:val="FF0000"/>
                <w:sz w:val="16"/>
                <w:szCs w:val="16"/>
                <w:lang w:val="en-GB"/>
              </w:rPr>
            </w:pPr>
            <w:r w:rsidRPr="00995AAB">
              <w:rPr>
                <w:rFonts w:ascii="Calibri" w:hAnsi="Calibri"/>
                <w:color w:val="FF0000"/>
                <w:sz w:val="16"/>
                <w:szCs w:val="16"/>
                <w:lang w:val="en-GB"/>
              </w:rPr>
              <w:t>1j)</w:t>
            </w:r>
          </w:p>
        </w:tc>
        <w:tc>
          <w:tcPr>
            <w:tcW w:w="2336" w:type="dxa"/>
            <w:tcBorders>
              <w:top w:val="nil"/>
              <w:left w:val="nil"/>
              <w:bottom w:val="single" w:sz="4" w:space="0" w:color="auto"/>
              <w:right w:val="single" w:sz="4" w:space="0" w:color="auto"/>
            </w:tcBorders>
            <w:shd w:val="clear" w:color="auto" w:fill="auto"/>
            <w:hideMark/>
          </w:tcPr>
          <w:p w14:paraId="4751AF81" w14:textId="77777777" w:rsidR="00AC77FA" w:rsidRPr="00995AAB" w:rsidRDefault="00AC77FA" w:rsidP="00300C18">
            <w:pPr>
              <w:rPr>
                <w:rFonts w:ascii="Calibri" w:hAnsi="Calibri"/>
                <w:color w:val="FF0000"/>
                <w:sz w:val="16"/>
                <w:szCs w:val="16"/>
                <w:lang w:val="en-GB"/>
              </w:rPr>
            </w:pPr>
            <w:r w:rsidRPr="00995AAB">
              <w:rPr>
                <w:rFonts w:ascii="Calibri" w:hAnsi="Calibri"/>
                <w:color w:val="FF0000"/>
                <w:sz w:val="16"/>
                <w:szCs w:val="16"/>
                <w:lang w:val="en-GB"/>
              </w:rPr>
              <w:t>1k)</w:t>
            </w:r>
          </w:p>
        </w:tc>
        <w:tc>
          <w:tcPr>
            <w:tcW w:w="2337" w:type="dxa"/>
            <w:tcBorders>
              <w:top w:val="nil"/>
              <w:left w:val="nil"/>
              <w:bottom w:val="single" w:sz="4" w:space="0" w:color="auto"/>
              <w:right w:val="single" w:sz="8" w:space="0" w:color="auto"/>
            </w:tcBorders>
            <w:shd w:val="clear" w:color="auto" w:fill="auto"/>
            <w:hideMark/>
          </w:tcPr>
          <w:p w14:paraId="23C6B259" w14:textId="77777777" w:rsidR="00AC77FA" w:rsidRPr="00995AAB" w:rsidRDefault="00AC77FA" w:rsidP="00300C18">
            <w:pPr>
              <w:rPr>
                <w:rFonts w:ascii="Calibri" w:hAnsi="Calibri"/>
                <w:color w:val="FF0000"/>
                <w:sz w:val="16"/>
                <w:szCs w:val="16"/>
                <w:lang w:val="en-GB"/>
              </w:rPr>
            </w:pPr>
            <w:r w:rsidRPr="00995AAB">
              <w:rPr>
                <w:rFonts w:ascii="Calibri" w:hAnsi="Calibri"/>
                <w:color w:val="FF0000"/>
                <w:sz w:val="16"/>
                <w:szCs w:val="16"/>
                <w:lang w:val="en-GB"/>
              </w:rPr>
              <w:t>1l)</w:t>
            </w:r>
          </w:p>
        </w:tc>
      </w:tr>
      <w:tr w:rsidR="00AC77FA" w:rsidRPr="00080375" w14:paraId="7D26A670" w14:textId="77777777" w:rsidTr="00300C18">
        <w:trPr>
          <w:trHeight w:val="261"/>
        </w:trPr>
        <w:tc>
          <w:tcPr>
            <w:tcW w:w="2336" w:type="dxa"/>
            <w:tcBorders>
              <w:top w:val="nil"/>
              <w:left w:val="single" w:sz="8" w:space="0" w:color="auto"/>
              <w:bottom w:val="single" w:sz="4" w:space="0" w:color="auto"/>
              <w:right w:val="single" w:sz="4" w:space="0" w:color="auto"/>
            </w:tcBorders>
            <w:shd w:val="clear" w:color="000000" w:fill="D9D9D9"/>
            <w:hideMark/>
          </w:tcPr>
          <w:p w14:paraId="684033E9" w14:textId="77777777" w:rsidR="00AC77FA" w:rsidRPr="00995AAB" w:rsidRDefault="00AC77FA" w:rsidP="00300C18">
            <w:pPr>
              <w:rPr>
                <w:rFonts w:ascii="Calibri" w:hAnsi="Calibri"/>
                <w:sz w:val="16"/>
                <w:szCs w:val="16"/>
                <w:lang w:val="en-GB"/>
              </w:rPr>
            </w:pPr>
            <w:r w:rsidRPr="00995AAB">
              <w:rPr>
                <w:rFonts w:ascii="Calibri" w:hAnsi="Calibri"/>
                <w:sz w:val="16"/>
                <w:szCs w:val="16"/>
                <w:lang w:val="en-GB"/>
              </w:rPr>
              <w:t>Failed Transactions</w:t>
            </w:r>
          </w:p>
        </w:tc>
        <w:tc>
          <w:tcPr>
            <w:tcW w:w="2337" w:type="dxa"/>
            <w:tcBorders>
              <w:top w:val="nil"/>
              <w:left w:val="nil"/>
              <w:bottom w:val="single" w:sz="4" w:space="0" w:color="auto"/>
              <w:right w:val="single" w:sz="4" w:space="0" w:color="auto"/>
            </w:tcBorders>
            <w:shd w:val="clear" w:color="auto" w:fill="auto"/>
            <w:hideMark/>
          </w:tcPr>
          <w:p w14:paraId="021466FD" w14:textId="77777777" w:rsidR="00AC77FA" w:rsidRPr="00995AAB" w:rsidRDefault="00AC77FA" w:rsidP="00300C18">
            <w:pPr>
              <w:rPr>
                <w:rFonts w:ascii="Calibri" w:hAnsi="Calibri"/>
                <w:color w:val="FF0000"/>
                <w:sz w:val="16"/>
                <w:szCs w:val="16"/>
                <w:lang w:val="en-GB"/>
              </w:rPr>
            </w:pPr>
            <w:r w:rsidRPr="00995AAB">
              <w:rPr>
                <w:rFonts w:ascii="Calibri" w:hAnsi="Calibri"/>
                <w:color w:val="FF0000"/>
                <w:sz w:val="16"/>
                <w:szCs w:val="16"/>
                <w:lang w:val="en-GB"/>
              </w:rPr>
              <w:t> </w:t>
            </w:r>
          </w:p>
        </w:tc>
        <w:tc>
          <w:tcPr>
            <w:tcW w:w="2336" w:type="dxa"/>
            <w:tcBorders>
              <w:top w:val="nil"/>
              <w:left w:val="nil"/>
              <w:bottom w:val="single" w:sz="4" w:space="0" w:color="auto"/>
              <w:right w:val="single" w:sz="4" w:space="0" w:color="auto"/>
            </w:tcBorders>
            <w:shd w:val="clear" w:color="auto" w:fill="auto"/>
            <w:hideMark/>
          </w:tcPr>
          <w:p w14:paraId="63BF9641" w14:textId="77777777" w:rsidR="00AC77FA" w:rsidRPr="00995AAB" w:rsidRDefault="00AC77FA" w:rsidP="00300C18">
            <w:pPr>
              <w:rPr>
                <w:rFonts w:ascii="Calibri" w:hAnsi="Calibri"/>
                <w:color w:val="FF0000"/>
                <w:sz w:val="16"/>
                <w:szCs w:val="16"/>
                <w:lang w:val="en-GB"/>
              </w:rPr>
            </w:pPr>
            <w:r w:rsidRPr="00995AAB">
              <w:rPr>
                <w:rFonts w:ascii="Calibri" w:hAnsi="Calibri"/>
                <w:color w:val="FF0000"/>
                <w:sz w:val="16"/>
                <w:szCs w:val="16"/>
                <w:lang w:val="en-GB"/>
              </w:rPr>
              <w:t>1m)</w:t>
            </w:r>
          </w:p>
        </w:tc>
        <w:tc>
          <w:tcPr>
            <w:tcW w:w="2337" w:type="dxa"/>
            <w:tcBorders>
              <w:top w:val="nil"/>
              <w:left w:val="nil"/>
              <w:bottom w:val="single" w:sz="4" w:space="0" w:color="auto"/>
              <w:right w:val="single" w:sz="8" w:space="0" w:color="auto"/>
            </w:tcBorders>
            <w:shd w:val="clear" w:color="auto" w:fill="auto"/>
            <w:hideMark/>
          </w:tcPr>
          <w:p w14:paraId="47F42B1C" w14:textId="77777777" w:rsidR="00AC77FA" w:rsidRPr="00995AAB" w:rsidRDefault="00AC77FA" w:rsidP="00300C18">
            <w:pPr>
              <w:rPr>
                <w:rFonts w:ascii="Calibri" w:hAnsi="Calibri"/>
                <w:color w:val="FF0000"/>
                <w:sz w:val="16"/>
                <w:szCs w:val="16"/>
                <w:lang w:val="en-GB"/>
              </w:rPr>
            </w:pPr>
            <w:r w:rsidRPr="00995AAB">
              <w:rPr>
                <w:rFonts w:ascii="Calibri" w:hAnsi="Calibri"/>
                <w:color w:val="FF0000"/>
                <w:sz w:val="16"/>
                <w:szCs w:val="16"/>
                <w:lang w:val="en-GB"/>
              </w:rPr>
              <w:t>1n)</w:t>
            </w:r>
          </w:p>
        </w:tc>
      </w:tr>
    </w:tbl>
    <w:p w14:paraId="4ECC0BA6" w14:textId="77777777" w:rsidR="00AC77FA" w:rsidRPr="00995AAB" w:rsidRDefault="00AC77FA" w:rsidP="00554CF0">
      <w:pPr>
        <w:rPr>
          <w:lang w:val="en-GB"/>
        </w:rPr>
      </w:pPr>
    </w:p>
    <w:p w14:paraId="04E7CDFA" w14:textId="77777777" w:rsidR="00E30A87" w:rsidRPr="00995AAB" w:rsidRDefault="00E30A87" w:rsidP="00554CF0">
      <w:pPr>
        <w:pStyle w:val="Heading4"/>
        <w:rPr>
          <w:lang w:val="en-GB"/>
        </w:rPr>
      </w:pPr>
      <w:r w:rsidRPr="00995AAB">
        <w:rPr>
          <w:lang w:val="en-GB"/>
        </w:rPr>
        <w:t>Attributes</w:t>
      </w:r>
    </w:p>
    <w:p w14:paraId="4BD5AE29" w14:textId="77777777" w:rsidR="003E0625" w:rsidRPr="00995AAB" w:rsidRDefault="003E0625" w:rsidP="00554CF0">
      <w:pPr>
        <w:rPr>
          <w:lang w:val="en-GB"/>
        </w:rPr>
      </w:pPr>
      <w:r w:rsidRPr="00995AAB">
        <w:rPr>
          <w:lang w:val="en-GB"/>
        </w:rPr>
        <w:t>The Table is populated with the following attributes:</w:t>
      </w:r>
    </w:p>
    <w:p w14:paraId="5F873987" w14:textId="77777777" w:rsidR="00E30A87" w:rsidRPr="00995AAB" w:rsidRDefault="00E30A87" w:rsidP="00E30A87">
      <w:pPr>
        <w:rPr>
          <w:lang w:val="en-GB"/>
        </w:rPr>
      </w:pPr>
      <w:r w:rsidRPr="00995AAB">
        <w:rPr>
          <w:lang w:val="en-GB"/>
        </w:rPr>
        <w:t>1a)</w:t>
      </w:r>
      <w:r w:rsidRPr="00995AAB">
        <w:rPr>
          <w:lang w:val="en-GB"/>
        </w:rPr>
        <w:tab/>
        <w:t>Name of Venue</w:t>
      </w:r>
      <w:r w:rsidR="009C317D">
        <w:rPr>
          <w:lang w:val="en-GB"/>
        </w:rPr>
        <w:t xml:space="preserve"> </w:t>
      </w:r>
    </w:p>
    <w:p w14:paraId="61B6D9B1" w14:textId="77777777" w:rsidR="00E30A87" w:rsidRPr="00995AAB" w:rsidRDefault="00E30A87" w:rsidP="00E30A87">
      <w:pPr>
        <w:rPr>
          <w:lang w:val="en-GB"/>
        </w:rPr>
      </w:pPr>
      <w:r w:rsidRPr="00995AAB">
        <w:rPr>
          <w:lang w:val="en-GB"/>
        </w:rPr>
        <w:t>1b)</w:t>
      </w:r>
      <w:r w:rsidRPr="00995AAB">
        <w:rPr>
          <w:lang w:val="en-GB"/>
        </w:rPr>
        <w:tab/>
        <w:t>Venue identifier; [LEI or MIC]</w:t>
      </w:r>
    </w:p>
    <w:p w14:paraId="3ECA397C" w14:textId="77777777" w:rsidR="00E30A87" w:rsidRPr="00995AAB" w:rsidRDefault="00E30A87" w:rsidP="00E30A87">
      <w:pPr>
        <w:rPr>
          <w:lang w:val="en-GB"/>
        </w:rPr>
      </w:pPr>
      <w:r w:rsidRPr="00995AAB">
        <w:rPr>
          <w:lang w:val="en-GB"/>
        </w:rPr>
        <w:t>1c)</w:t>
      </w:r>
      <w:r w:rsidRPr="00995AAB">
        <w:rPr>
          <w:lang w:val="en-GB"/>
        </w:rPr>
        <w:tab/>
        <w:t>Country of Competent Authority</w:t>
      </w:r>
    </w:p>
    <w:p w14:paraId="6F0C303F" w14:textId="77777777" w:rsidR="00E30A87" w:rsidRPr="00995AAB" w:rsidRDefault="00E30A87" w:rsidP="00E30A87">
      <w:pPr>
        <w:rPr>
          <w:lang w:val="en-GB"/>
        </w:rPr>
      </w:pPr>
      <w:r w:rsidRPr="00995AAB">
        <w:rPr>
          <w:lang w:val="en-GB"/>
        </w:rPr>
        <w:t>1d)</w:t>
      </w:r>
      <w:r w:rsidRPr="00995AAB">
        <w:rPr>
          <w:lang w:val="en-GB"/>
        </w:rPr>
        <w:tab/>
        <w:t>Name of Market Segment</w:t>
      </w:r>
    </w:p>
    <w:p w14:paraId="41A3D7CC" w14:textId="77777777" w:rsidR="00E30A87" w:rsidRPr="00995AAB" w:rsidRDefault="00E30A87" w:rsidP="00E30A87">
      <w:pPr>
        <w:rPr>
          <w:lang w:val="en-GB"/>
        </w:rPr>
      </w:pPr>
      <w:r w:rsidRPr="00995AAB">
        <w:rPr>
          <w:lang w:val="en-GB"/>
        </w:rPr>
        <w:t>1e)</w:t>
      </w:r>
      <w:r w:rsidRPr="00995AAB">
        <w:rPr>
          <w:lang w:val="en-GB"/>
        </w:rPr>
        <w:tab/>
        <w:t>Market Segment identifier; [MIC]</w:t>
      </w:r>
    </w:p>
    <w:p w14:paraId="459A9123" w14:textId="77777777" w:rsidR="00E30A87" w:rsidRPr="00995AAB" w:rsidRDefault="00E30A87" w:rsidP="00E30A87">
      <w:pPr>
        <w:rPr>
          <w:lang w:val="en-GB"/>
        </w:rPr>
      </w:pPr>
      <w:r w:rsidRPr="00995AAB">
        <w:rPr>
          <w:lang w:val="en-GB"/>
        </w:rPr>
        <w:t>1f)</w:t>
      </w:r>
      <w:r w:rsidRPr="00995AAB">
        <w:rPr>
          <w:lang w:val="en-GB"/>
        </w:rPr>
        <w:tab/>
        <w:t>Date ISO 8601</w:t>
      </w:r>
    </w:p>
    <w:p w14:paraId="55BED85C" w14:textId="77777777" w:rsidR="00E30A87" w:rsidRPr="00995AAB" w:rsidRDefault="00E30A87" w:rsidP="00E30A87">
      <w:pPr>
        <w:rPr>
          <w:lang w:val="en-GB"/>
        </w:rPr>
      </w:pPr>
      <w:r w:rsidRPr="00995AAB">
        <w:rPr>
          <w:lang w:val="en-GB"/>
        </w:rPr>
        <w:t>1g)</w:t>
      </w:r>
      <w:r w:rsidRPr="00995AAB">
        <w:rPr>
          <w:lang w:val="en-GB"/>
        </w:rPr>
        <w:tab/>
        <w:t>Nature of Outage</w:t>
      </w:r>
    </w:p>
    <w:p w14:paraId="157F29CD" w14:textId="77777777" w:rsidR="00E30A87" w:rsidRPr="00995AAB" w:rsidRDefault="00E30A87" w:rsidP="00E30A87">
      <w:pPr>
        <w:rPr>
          <w:lang w:val="en-GB"/>
        </w:rPr>
      </w:pPr>
      <w:r w:rsidRPr="00995AAB">
        <w:rPr>
          <w:lang w:val="en-GB"/>
        </w:rPr>
        <w:t>1h)</w:t>
      </w:r>
      <w:r w:rsidRPr="00995AAB">
        <w:rPr>
          <w:lang w:val="en-GB"/>
        </w:rPr>
        <w:tab/>
        <w:t>Number of Outages</w:t>
      </w:r>
    </w:p>
    <w:p w14:paraId="4A7351EC" w14:textId="77777777" w:rsidR="00E30A87" w:rsidRPr="00995AAB" w:rsidRDefault="00E30A87" w:rsidP="00E30A87">
      <w:pPr>
        <w:rPr>
          <w:lang w:val="en-GB"/>
        </w:rPr>
      </w:pPr>
      <w:r w:rsidRPr="00995AAB">
        <w:rPr>
          <w:lang w:val="en-GB"/>
        </w:rPr>
        <w:t>1i)</w:t>
      </w:r>
      <w:r w:rsidRPr="00995AAB">
        <w:rPr>
          <w:lang w:val="en-GB"/>
        </w:rPr>
        <w:tab/>
        <w:t>Average Duration of Outages</w:t>
      </w:r>
    </w:p>
    <w:p w14:paraId="451AAA45" w14:textId="77777777" w:rsidR="00E30A87" w:rsidRPr="00995AAB" w:rsidRDefault="00E30A87" w:rsidP="00E30A87">
      <w:pPr>
        <w:rPr>
          <w:lang w:val="en-GB"/>
        </w:rPr>
      </w:pPr>
      <w:r w:rsidRPr="00995AAB">
        <w:rPr>
          <w:lang w:val="en-GB"/>
        </w:rPr>
        <w:t>1j)</w:t>
      </w:r>
      <w:r w:rsidRPr="00995AAB">
        <w:rPr>
          <w:lang w:val="en-GB"/>
        </w:rPr>
        <w:tab/>
        <w:t>Nature of Scheduled Auction</w:t>
      </w:r>
    </w:p>
    <w:p w14:paraId="2B02E33F" w14:textId="77777777" w:rsidR="00E30A87" w:rsidRPr="00995AAB" w:rsidRDefault="00E30A87" w:rsidP="00E30A87">
      <w:pPr>
        <w:rPr>
          <w:lang w:val="en-GB"/>
        </w:rPr>
      </w:pPr>
      <w:r w:rsidRPr="00995AAB">
        <w:rPr>
          <w:lang w:val="en-GB"/>
        </w:rPr>
        <w:t>1k)</w:t>
      </w:r>
      <w:r w:rsidRPr="00995AAB">
        <w:rPr>
          <w:lang w:val="en-GB"/>
        </w:rPr>
        <w:tab/>
        <w:t>Number of Scheduled Auctions</w:t>
      </w:r>
    </w:p>
    <w:p w14:paraId="28D4BAFC" w14:textId="77777777" w:rsidR="00E30A87" w:rsidRPr="00995AAB" w:rsidRDefault="00E30A87" w:rsidP="00E30A87">
      <w:pPr>
        <w:rPr>
          <w:lang w:val="en-GB"/>
        </w:rPr>
      </w:pPr>
      <w:r w:rsidRPr="00995AAB">
        <w:rPr>
          <w:lang w:val="en-GB"/>
        </w:rPr>
        <w:t>1l)</w:t>
      </w:r>
      <w:r w:rsidRPr="00995AAB">
        <w:rPr>
          <w:lang w:val="en-GB"/>
        </w:rPr>
        <w:tab/>
        <w:t>Average Duration of Scheduled Auctions</w:t>
      </w:r>
    </w:p>
    <w:p w14:paraId="041619E3" w14:textId="77777777" w:rsidR="00E30A87" w:rsidRPr="00995AAB" w:rsidRDefault="00E30A87" w:rsidP="00E30A87">
      <w:pPr>
        <w:rPr>
          <w:lang w:val="en-GB"/>
        </w:rPr>
      </w:pPr>
      <w:r w:rsidRPr="00995AAB">
        <w:rPr>
          <w:lang w:val="en-GB"/>
        </w:rPr>
        <w:t>1m)</w:t>
      </w:r>
      <w:r w:rsidRPr="00995AAB">
        <w:rPr>
          <w:lang w:val="en-GB"/>
        </w:rPr>
        <w:tab/>
        <w:t>Number of Failed Transactions</w:t>
      </w:r>
    </w:p>
    <w:p w14:paraId="5EEBBFC0" w14:textId="77777777" w:rsidR="00E30A87" w:rsidRPr="00995AAB" w:rsidRDefault="00E30A87" w:rsidP="006C4BAA">
      <w:pPr>
        <w:rPr>
          <w:lang w:val="en-GB"/>
        </w:rPr>
      </w:pPr>
      <w:r w:rsidRPr="00995AAB">
        <w:rPr>
          <w:lang w:val="en-GB"/>
        </w:rPr>
        <w:t>1n)</w:t>
      </w:r>
      <w:r w:rsidRPr="00995AAB">
        <w:rPr>
          <w:lang w:val="en-GB"/>
        </w:rPr>
        <w:tab/>
        <w:t>Value of Failed T</w:t>
      </w:r>
      <w:r w:rsidR="006C4BAA" w:rsidRPr="00995AAB">
        <w:rPr>
          <w:lang w:val="en-GB"/>
        </w:rPr>
        <w:t>r</w:t>
      </w:r>
      <w:r w:rsidRPr="00995AAB">
        <w:rPr>
          <w:lang w:val="en-GB"/>
        </w:rPr>
        <w:t>ansactions: as %age of total value of transactions executed on that day</w:t>
      </w:r>
    </w:p>
    <w:p w14:paraId="152821FD" w14:textId="77777777" w:rsidR="000D74AF" w:rsidRPr="00995AAB" w:rsidRDefault="000D74AF" w:rsidP="006C4BAA">
      <w:pPr>
        <w:rPr>
          <w:lang w:val="en-GB"/>
        </w:rPr>
      </w:pPr>
    </w:p>
    <w:p w14:paraId="248D1B36" w14:textId="1B7A9D99" w:rsidR="00CF1685" w:rsidRPr="00995AAB" w:rsidRDefault="00AC77FA" w:rsidP="00CF1685">
      <w:pPr>
        <w:rPr>
          <w:lang w:val="en-GB"/>
        </w:rPr>
      </w:pPr>
      <w:r w:rsidRPr="00995AAB">
        <w:rPr>
          <w:lang w:val="en-GB"/>
        </w:rPr>
        <w:t xml:space="preserve">The table should be viewed as a summary of the activity on a </w:t>
      </w:r>
      <w:r w:rsidR="00993DF7">
        <w:rPr>
          <w:lang w:val="en-GB"/>
        </w:rPr>
        <w:t>v</w:t>
      </w:r>
      <w:r w:rsidRPr="00995AAB">
        <w:rPr>
          <w:lang w:val="en-GB"/>
        </w:rPr>
        <w:t xml:space="preserve">enue over a day </w:t>
      </w:r>
      <w:r w:rsidR="00CF1685" w:rsidRPr="00995AAB">
        <w:rPr>
          <w:lang w:val="en-GB"/>
        </w:rPr>
        <w:t xml:space="preserve">Here the concept of an outage should be interpreted as an interruption to all instruments on a </w:t>
      </w:r>
      <w:r w:rsidR="00CF1685">
        <w:rPr>
          <w:lang w:val="en-GB"/>
        </w:rPr>
        <w:t>v</w:t>
      </w:r>
      <w:r w:rsidR="00CF1685" w:rsidRPr="00995AAB">
        <w:rPr>
          <w:lang w:val="en-GB"/>
        </w:rPr>
        <w:t>enue (see Article 3(i)(e)).</w:t>
      </w:r>
    </w:p>
    <w:p w14:paraId="3FAC9657" w14:textId="2B87D012" w:rsidR="00567DFD" w:rsidRDefault="00567DFD" w:rsidP="006C4BAA">
      <w:pPr>
        <w:rPr>
          <w:lang w:val="en-GB"/>
        </w:rPr>
      </w:pPr>
    </w:p>
    <w:p w14:paraId="250B33FE" w14:textId="561B1199" w:rsidR="00160B61" w:rsidRDefault="00160B61" w:rsidP="006C4BAA">
      <w:pPr>
        <w:rPr>
          <w:lang w:val="en-GB"/>
        </w:rPr>
      </w:pPr>
      <w:r>
        <w:rPr>
          <w:lang w:val="en-GB"/>
        </w:rPr>
        <w:t>The first six fields of information can be held as venue level information.</w:t>
      </w:r>
    </w:p>
    <w:p w14:paraId="5B10609E" w14:textId="77777777" w:rsidR="00567DFD" w:rsidRDefault="00567DFD" w:rsidP="006C4BAA">
      <w:pPr>
        <w:rPr>
          <w:lang w:val="en-GB"/>
        </w:rPr>
      </w:pPr>
      <w:r>
        <w:rPr>
          <w:lang w:val="en-GB"/>
        </w:rPr>
        <w:t>If there is only one segment in the</w:t>
      </w:r>
      <w:r w:rsidR="003F4B16">
        <w:rPr>
          <w:lang w:val="en-GB"/>
        </w:rPr>
        <w:t xml:space="preserve"> </w:t>
      </w:r>
      <w:r w:rsidR="00993DF7">
        <w:rPr>
          <w:lang w:val="en-GB"/>
        </w:rPr>
        <w:t>v</w:t>
      </w:r>
      <w:r w:rsidR="003F4B16">
        <w:rPr>
          <w:lang w:val="en-GB"/>
        </w:rPr>
        <w:t>enue and a</w:t>
      </w:r>
      <w:r>
        <w:rPr>
          <w:lang w:val="en-GB"/>
        </w:rPr>
        <w:t xml:space="preserve"> MIC </w:t>
      </w:r>
      <w:r w:rsidR="003F4B16">
        <w:rPr>
          <w:lang w:val="en-GB"/>
        </w:rPr>
        <w:t xml:space="preserve">is </w:t>
      </w:r>
      <w:r>
        <w:rPr>
          <w:lang w:val="en-GB"/>
        </w:rPr>
        <w:t>used in 1b)</w:t>
      </w:r>
      <w:r w:rsidR="003F4B16">
        <w:rPr>
          <w:lang w:val="en-GB"/>
        </w:rPr>
        <w:t>, the same MIC</w:t>
      </w:r>
      <w:r>
        <w:rPr>
          <w:lang w:val="en-GB"/>
        </w:rPr>
        <w:t xml:space="preserve"> should be re-used </w:t>
      </w:r>
      <w:r w:rsidR="003F4B16">
        <w:rPr>
          <w:lang w:val="en-GB"/>
        </w:rPr>
        <w:t>to populate 1e).</w:t>
      </w:r>
    </w:p>
    <w:p w14:paraId="1EA9AC96" w14:textId="77777777" w:rsidR="008C1AEC" w:rsidRPr="00995AAB" w:rsidRDefault="00DF2938" w:rsidP="002005D5">
      <w:pPr>
        <w:pStyle w:val="Heading3"/>
        <w:rPr>
          <w:lang w:val="en-GB"/>
        </w:rPr>
      </w:pPr>
      <w:bookmarkStart w:id="48" w:name="_Toc495562558"/>
      <w:r w:rsidRPr="00995AAB">
        <w:rPr>
          <w:lang w:val="en-GB"/>
        </w:rPr>
        <w:lastRenderedPageBreak/>
        <w:t>Table 2 - Article 3(2)</w:t>
      </w:r>
      <w:r w:rsidR="008A5C9E" w:rsidRPr="00995AAB">
        <w:rPr>
          <w:lang w:val="en-GB"/>
        </w:rPr>
        <w:t>: Instrument Identifier</w:t>
      </w:r>
      <w:bookmarkEnd w:id="48"/>
    </w:p>
    <w:p w14:paraId="6E4EC098" w14:textId="77777777" w:rsidR="002473ED" w:rsidRPr="00995AAB" w:rsidRDefault="002473ED" w:rsidP="00995AAB">
      <w:pPr>
        <w:pStyle w:val="Heading4"/>
        <w:rPr>
          <w:lang w:val="en-GB"/>
        </w:rPr>
      </w:pPr>
      <w:r w:rsidRPr="00995AAB">
        <w:rPr>
          <w:lang w:val="en-GB"/>
        </w:rPr>
        <w:t>Table Format</w:t>
      </w:r>
      <w:r w:rsidR="003F422E">
        <w:rPr>
          <w:lang w:val="en-GB"/>
        </w:rPr>
        <w:t xml:space="preserve"> (one table per instrument)</w:t>
      </w:r>
    </w:p>
    <w:tbl>
      <w:tblPr>
        <w:tblW w:w="9238" w:type="dxa"/>
        <w:tblLook w:val="04A0" w:firstRow="1" w:lastRow="0" w:firstColumn="1" w:lastColumn="0" w:noHBand="0" w:noVBand="1"/>
      </w:tblPr>
      <w:tblGrid>
        <w:gridCol w:w="3261"/>
        <w:gridCol w:w="3720"/>
        <w:gridCol w:w="2257"/>
      </w:tblGrid>
      <w:tr w:rsidR="001C0855" w:rsidRPr="00080375" w14:paraId="21ADEB9B" w14:textId="77777777" w:rsidTr="001C0855">
        <w:trPr>
          <w:trHeight w:val="272"/>
        </w:trPr>
        <w:tc>
          <w:tcPr>
            <w:tcW w:w="3261" w:type="dxa"/>
            <w:tcBorders>
              <w:top w:val="single" w:sz="8" w:space="0" w:color="auto"/>
              <w:left w:val="single" w:sz="8" w:space="0" w:color="auto"/>
              <w:bottom w:val="single" w:sz="4" w:space="0" w:color="auto"/>
              <w:right w:val="single" w:sz="4" w:space="0" w:color="auto"/>
            </w:tcBorders>
            <w:shd w:val="clear" w:color="000000" w:fill="D9D9D9"/>
            <w:hideMark/>
          </w:tcPr>
          <w:p w14:paraId="5E3F79B5" w14:textId="77777777" w:rsidR="001C0855" w:rsidRPr="00995AAB" w:rsidRDefault="001C0855" w:rsidP="001C0855">
            <w:pPr>
              <w:rPr>
                <w:rFonts w:ascii="Calibri" w:hAnsi="Calibri"/>
                <w:color w:val="000000"/>
                <w:sz w:val="16"/>
                <w:szCs w:val="16"/>
                <w:lang w:val="en-GB"/>
              </w:rPr>
            </w:pPr>
            <w:r w:rsidRPr="00995AAB">
              <w:rPr>
                <w:rFonts w:ascii="Calibri" w:hAnsi="Calibri"/>
                <w:color w:val="000000"/>
                <w:sz w:val="16"/>
                <w:szCs w:val="16"/>
                <w:lang w:val="en-GB"/>
              </w:rPr>
              <w:t>Financial Instrument</w:t>
            </w:r>
          </w:p>
        </w:tc>
        <w:tc>
          <w:tcPr>
            <w:tcW w:w="3720" w:type="dxa"/>
            <w:tcBorders>
              <w:top w:val="single" w:sz="8" w:space="0" w:color="auto"/>
              <w:left w:val="nil"/>
              <w:bottom w:val="single" w:sz="4" w:space="0" w:color="auto"/>
              <w:right w:val="single" w:sz="4" w:space="0" w:color="auto"/>
            </w:tcBorders>
            <w:shd w:val="clear" w:color="auto" w:fill="auto"/>
            <w:hideMark/>
          </w:tcPr>
          <w:p w14:paraId="442D0393" w14:textId="77777777" w:rsidR="001C0855" w:rsidRPr="00995AAB" w:rsidRDefault="001C0855" w:rsidP="001C0855">
            <w:pPr>
              <w:rPr>
                <w:rFonts w:ascii="Calibri" w:hAnsi="Calibri"/>
                <w:color w:val="FF0000"/>
                <w:sz w:val="16"/>
                <w:szCs w:val="16"/>
                <w:lang w:val="en-GB"/>
              </w:rPr>
            </w:pPr>
            <w:r w:rsidRPr="00995AAB">
              <w:rPr>
                <w:rFonts w:ascii="Calibri" w:hAnsi="Calibri"/>
                <w:color w:val="FF0000"/>
                <w:sz w:val="16"/>
                <w:szCs w:val="16"/>
                <w:lang w:val="en-GB"/>
              </w:rPr>
              <w:t>2a)</w:t>
            </w:r>
          </w:p>
        </w:tc>
        <w:tc>
          <w:tcPr>
            <w:tcW w:w="2257" w:type="dxa"/>
            <w:tcBorders>
              <w:top w:val="single" w:sz="8" w:space="0" w:color="auto"/>
              <w:left w:val="nil"/>
              <w:bottom w:val="single" w:sz="4" w:space="0" w:color="auto"/>
              <w:right w:val="single" w:sz="8" w:space="0" w:color="auto"/>
            </w:tcBorders>
            <w:shd w:val="clear" w:color="auto" w:fill="auto"/>
            <w:hideMark/>
          </w:tcPr>
          <w:p w14:paraId="0DEEEAAF" w14:textId="77777777" w:rsidR="001C0855" w:rsidRPr="00995AAB" w:rsidRDefault="001C0855" w:rsidP="001C0855">
            <w:pPr>
              <w:rPr>
                <w:rFonts w:ascii="Calibri" w:hAnsi="Calibri"/>
                <w:color w:val="FF0000"/>
                <w:sz w:val="16"/>
                <w:szCs w:val="16"/>
                <w:lang w:val="en-GB"/>
              </w:rPr>
            </w:pPr>
            <w:r w:rsidRPr="00995AAB">
              <w:rPr>
                <w:rFonts w:ascii="Calibri" w:hAnsi="Calibri"/>
                <w:color w:val="FF0000"/>
                <w:sz w:val="16"/>
                <w:szCs w:val="16"/>
                <w:lang w:val="en-GB"/>
              </w:rPr>
              <w:t>2b)</w:t>
            </w:r>
          </w:p>
        </w:tc>
      </w:tr>
      <w:tr w:rsidR="001C0855" w:rsidRPr="00080375" w14:paraId="6D55A586" w14:textId="77777777" w:rsidTr="001C0855">
        <w:trPr>
          <w:trHeight w:val="272"/>
        </w:trPr>
        <w:tc>
          <w:tcPr>
            <w:tcW w:w="3261" w:type="dxa"/>
            <w:tcBorders>
              <w:top w:val="nil"/>
              <w:left w:val="single" w:sz="8" w:space="0" w:color="auto"/>
              <w:bottom w:val="single" w:sz="4" w:space="0" w:color="auto"/>
              <w:right w:val="single" w:sz="4" w:space="0" w:color="auto"/>
            </w:tcBorders>
            <w:shd w:val="clear" w:color="000000" w:fill="D9D9D9"/>
            <w:hideMark/>
          </w:tcPr>
          <w:p w14:paraId="28345D58" w14:textId="77777777" w:rsidR="001C0855" w:rsidRPr="00995AAB" w:rsidRDefault="001C0855" w:rsidP="001C0855">
            <w:pPr>
              <w:rPr>
                <w:rFonts w:ascii="Calibri" w:hAnsi="Calibri"/>
                <w:color w:val="000000"/>
                <w:sz w:val="16"/>
                <w:szCs w:val="16"/>
                <w:lang w:val="en-GB"/>
              </w:rPr>
            </w:pPr>
            <w:r w:rsidRPr="00995AAB">
              <w:rPr>
                <w:rFonts w:ascii="Calibri" w:hAnsi="Calibri"/>
                <w:color w:val="000000"/>
                <w:sz w:val="16"/>
                <w:szCs w:val="16"/>
                <w:lang w:val="en-GB"/>
              </w:rPr>
              <w:t>Written Description of Financial Instrument</w:t>
            </w:r>
          </w:p>
        </w:tc>
        <w:tc>
          <w:tcPr>
            <w:tcW w:w="5977" w:type="dxa"/>
            <w:gridSpan w:val="2"/>
            <w:tcBorders>
              <w:top w:val="nil"/>
              <w:left w:val="nil"/>
              <w:bottom w:val="single" w:sz="4" w:space="0" w:color="auto"/>
              <w:right w:val="single" w:sz="8" w:space="0" w:color="000000"/>
            </w:tcBorders>
            <w:shd w:val="clear" w:color="auto" w:fill="auto"/>
            <w:hideMark/>
          </w:tcPr>
          <w:p w14:paraId="7BEDD01B" w14:textId="77777777" w:rsidR="001C0855" w:rsidRPr="00995AAB" w:rsidRDefault="001C0855" w:rsidP="001C0855">
            <w:pPr>
              <w:jc w:val="center"/>
              <w:rPr>
                <w:rFonts w:ascii="Calibri" w:hAnsi="Calibri"/>
                <w:color w:val="FF0000"/>
                <w:sz w:val="16"/>
                <w:szCs w:val="16"/>
                <w:lang w:val="en-GB"/>
              </w:rPr>
            </w:pPr>
            <w:r w:rsidRPr="00995AAB">
              <w:rPr>
                <w:rFonts w:ascii="Calibri" w:hAnsi="Calibri"/>
                <w:color w:val="FF0000"/>
                <w:sz w:val="16"/>
                <w:szCs w:val="16"/>
                <w:lang w:val="en-GB"/>
              </w:rPr>
              <w:t>2c)</w:t>
            </w:r>
          </w:p>
        </w:tc>
      </w:tr>
      <w:tr w:rsidR="001C0855" w:rsidRPr="00080375" w14:paraId="14A01D11" w14:textId="77777777" w:rsidTr="001C0855">
        <w:trPr>
          <w:trHeight w:val="272"/>
        </w:trPr>
        <w:tc>
          <w:tcPr>
            <w:tcW w:w="3261" w:type="dxa"/>
            <w:tcBorders>
              <w:top w:val="nil"/>
              <w:left w:val="single" w:sz="8" w:space="0" w:color="auto"/>
              <w:bottom w:val="single" w:sz="4" w:space="0" w:color="auto"/>
              <w:right w:val="single" w:sz="4" w:space="0" w:color="auto"/>
            </w:tcBorders>
            <w:shd w:val="clear" w:color="000000" w:fill="D9D9D9"/>
            <w:hideMark/>
          </w:tcPr>
          <w:p w14:paraId="09BC007E" w14:textId="77777777" w:rsidR="001C0855" w:rsidRPr="00995AAB" w:rsidRDefault="001C0855" w:rsidP="001C0855">
            <w:pPr>
              <w:rPr>
                <w:rFonts w:ascii="Calibri" w:hAnsi="Calibri"/>
                <w:color w:val="000000"/>
                <w:sz w:val="16"/>
                <w:szCs w:val="16"/>
                <w:lang w:val="en-GB"/>
              </w:rPr>
            </w:pPr>
            <w:r w:rsidRPr="00995AAB">
              <w:rPr>
                <w:rFonts w:ascii="Calibri" w:hAnsi="Calibri"/>
                <w:color w:val="000000"/>
                <w:sz w:val="16"/>
                <w:szCs w:val="16"/>
                <w:lang w:val="en-GB"/>
              </w:rPr>
              <w:t>Instrument Classification</w:t>
            </w:r>
          </w:p>
        </w:tc>
        <w:tc>
          <w:tcPr>
            <w:tcW w:w="5977" w:type="dxa"/>
            <w:gridSpan w:val="2"/>
            <w:tcBorders>
              <w:top w:val="single" w:sz="4" w:space="0" w:color="auto"/>
              <w:left w:val="nil"/>
              <w:bottom w:val="single" w:sz="4" w:space="0" w:color="auto"/>
              <w:right w:val="single" w:sz="8" w:space="0" w:color="000000"/>
            </w:tcBorders>
            <w:shd w:val="clear" w:color="auto" w:fill="auto"/>
            <w:hideMark/>
          </w:tcPr>
          <w:p w14:paraId="0C6B8A2A" w14:textId="77777777" w:rsidR="001C0855" w:rsidRPr="00995AAB" w:rsidRDefault="001C0855" w:rsidP="001C0855">
            <w:pPr>
              <w:jc w:val="center"/>
              <w:rPr>
                <w:rFonts w:ascii="Calibri" w:hAnsi="Calibri"/>
                <w:color w:val="FF0000"/>
                <w:sz w:val="16"/>
                <w:szCs w:val="16"/>
                <w:lang w:val="en-GB"/>
              </w:rPr>
            </w:pPr>
            <w:r w:rsidRPr="00995AAB">
              <w:rPr>
                <w:rFonts w:ascii="Calibri" w:hAnsi="Calibri"/>
                <w:color w:val="FF0000"/>
                <w:sz w:val="16"/>
                <w:szCs w:val="16"/>
                <w:lang w:val="en-GB"/>
              </w:rPr>
              <w:t>2d)</w:t>
            </w:r>
          </w:p>
        </w:tc>
      </w:tr>
      <w:tr w:rsidR="001C0855" w:rsidRPr="00080375" w14:paraId="00396557" w14:textId="77777777" w:rsidTr="001C0855">
        <w:trPr>
          <w:trHeight w:val="289"/>
        </w:trPr>
        <w:tc>
          <w:tcPr>
            <w:tcW w:w="3261" w:type="dxa"/>
            <w:tcBorders>
              <w:top w:val="nil"/>
              <w:left w:val="single" w:sz="8" w:space="0" w:color="auto"/>
              <w:bottom w:val="single" w:sz="8" w:space="0" w:color="auto"/>
              <w:right w:val="single" w:sz="4" w:space="0" w:color="auto"/>
            </w:tcBorders>
            <w:shd w:val="clear" w:color="000000" w:fill="D9D9D9"/>
            <w:hideMark/>
          </w:tcPr>
          <w:p w14:paraId="5D87C44E" w14:textId="77777777" w:rsidR="001C0855" w:rsidRPr="00995AAB" w:rsidRDefault="001C0855" w:rsidP="001C0855">
            <w:pPr>
              <w:rPr>
                <w:rFonts w:ascii="Calibri" w:hAnsi="Calibri"/>
                <w:color w:val="000000"/>
                <w:sz w:val="16"/>
                <w:szCs w:val="16"/>
                <w:lang w:val="en-GB"/>
              </w:rPr>
            </w:pPr>
            <w:r w:rsidRPr="00995AAB">
              <w:rPr>
                <w:rFonts w:ascii="Calibri" w:hAnsi="Calibri"/>
                <w:color w:val="000000"/>
                <w:sz w:val="16"/>
                <w:szCs w:val="16"/>
                <w:lang w:val="en-GB"/>
              </w:rPr>
              <w:t>Currency</w:t>
            </w:r>
          </w:p>
        </w:tc>
        <w:tc>
          <w:tcPr>
            <w:tcW w:w="5977" w:type="dxa"/>
            <w:gridSpan w:val="2"/>
            <w:tcBorders>
              <w:top w:val="single" w:sz="4" w:space="0" w:color="auto"/>
              <w:left w:val="nil"/>
              <w:bottom w:val="single" w:sz="8" w:space="0" w:color="auto"/>
              <w:right w:val="single" w:sz="8" w:space="0" w:color="000000"/>
            </w:tcBorders>
            <w:shd w:val="clear" w:color="auto" w:fill="auto"/>
            <w:hideMark/>
          </w:tcPr>
          <w:p w14:paraId="3C82C7D7" w14:textId="77777777" w:rsidR="001C0855" w:rsidRPr="00995AAB" w:rsidRDefault="001C0855" w:rsidP="001C0855">
            <w:pPr>
              <w:jc w:val="center"/>
              <w:rPr>
                <w:rFonts w:ascii="Calibri" w:hAnsi="Calibri"/>
                <w:color w:val="FF0000"/>
                <w:sz w:val="16"/>
                <w:szCs w:val="16"/>
                <w:lang w:val="en-GB"/>
              </w:rPr>
            </w:pPr>
            <w:r w:rsidRPr="00995AAB">
              <w:rPr>
                <w:rFonts w:ascii="Calibri" w:hAnsi="Calibri"/>
                <w:color w:val="FF0000"/>
                <w:sz w:val="16"/>
                <w:szCs w:val="16"/>
                <w:lang w:val="en-GB"/>
              </w:rPr>
              <w:t>2e)</w:t>
            </w:r>
          </w:p>
        </w:tc>
      </w:tr>
    </w:tbl>
    <w:p w14:paraId="34F1731A" w14:textId="77777777" w:rsidR="002473ED" w:rsidRPr="00995AAB" w:rsidRDefault="002473ED" w:rsidP="00554CF0">
      <w:pPr>
        <w:rPr>
          <w:lang w:val="en-GB"/>
        </w:rPr>
      </w:pPr>
    </w:p>
    <w:p w14:paraId="2DD984A4" w14:textId="77777777" w:rsidR="002473ED" w:rsidRPr="00995AAB" w:rsidRDefault="002473ED" w:rsidP="00554CF0">
      <w:pPr>
        <w:pStyle w:val="Heading4"/>
        <w:rPr>
          <w:lang w:val="en-GB"/>
        </w:rPr>
      </w:pPr>
      <w:r w:rsidRPr="00995AAB">
        <w:rPr>
          <w:lang w:val="en-GB"/>
        </w:rPr>
        <w:t>Attributes</w:t>
      </w:r>
    </w:p>
    <w:p w14:paraId="0CC2416D" w14:textId="77777777" w:rsidR="00AD0C70" w:rsidRPr="00995AAB" w:rsidRDefault="00AD0C70" w:rsidP="00AD0C70">
      <w:pPr>
        <w:rPr>
          <w:lang w:val="en-GB"/>
        </w:rPr>
      </w:pPr>
      <w:r w:rsidRPr="00995AAB">
        <w:rPr>
          <w:lang w:val="en-GB"/>
        </w:rPr>
        <w:t>The Table is populated with the following attributes:</w:t>
      </w:r>
    </w:p>
    <w:p w14:paraId="1354AEC5" w14:textId="77777777" w:rsidR="002473ED" w:rsidRPr="00995AAB" w:rsidRDefault="002473ED" w:rsidP="002473ED">
      <w:pPr>
        <w:rPr>
          <w:lang w:val="en-GB"/>
        </w:rPr>
      </w:pPr>
      <w:r w:rsidRPr="00995AAB">
        <w:rPr>
          <w:lang w:val="en-GB"/>
        </w:rPr>
        <w:t>2a)</w:t>
      </w:r>
      <w:r w:rsidRPr="00995AAB">
        <w:rPr>
          <w:lang w:val="en-GB"/>
        </w:rPr>
        <w:tab/>
        <w:t>Financial Instrument Name</w:t>
      </w:r>
    </w:p>
    <w:p w14:paraId="32C16993" w14:textId="77777777" w:rsidR="002473ED" w:rsidRPr="00995AAB" w:rsidRDefault="002473ED" w:rsidP="002473ED">
      <w:pPr>
        <w:rPr>
          <w:lang w:val="en-GB"/>
        </w:rPr>
      </w:pPr>
      <w:r w:rsidRPr="00995AAB">
        <w:rPr>
          <w:lang w:val="en-GB"/>
        </w:rPr>
        <w:t>2b)</w:t>
      </w:r>
      <w:r w:rsidRPr="00995AAB">
        <w:rPr>
          <w:lang w:val="en-GB"/>
        </w:rPr>
        <w:tab/>
        <w:t>Instrument Identifier - ISIN [ISO6166]</w:t>
      </w:r>
    </w:p>
    <w:p w14:paraId="40FBF41C" w14:textId="77777777" w:rsidR="002473ED" w:rsidRPr="00995AAB" w:rsidRDefault="002473ED" w:rsidP="00554CF0">
      <w:pPr>
        <w:ind w:left="720" w:hanging="720"/>
        <w:rPr>
          <w:lang w:val="en-GB"/>
        </w:rPr>
      </w:pPr>
      <w:r w:rsidRPr="00995AAB">
        <w:rPr>
          <w:lang w:val="en-GB"/>
        </w:rPr>
        <w:t>2c)</w:t>
      </w:r>
      <w:r w:rsidRPr="00995AAB">
        <w:rPr>
          <w:lang w:val="en-GB"/>
        </w:rPr>
        <w:tab/>
      </w:r>
      <w:r w:rsidR="00393DDF">
        <w:rPr>
          <w:lang w:val="en-GB"/>
        </w:rPr>
        <w:t>I</w:t>
      </w:r>
      <w:r w:rsidR="00393DDF" w:rsidRPr="00732AC1">
        <w:rPr>
          <w:lang w:val="en-GB"/>
        </w:rPr>
        <w:t xml:space="preserve">f no </w:t>
      </w:r>
      <w:r w:rsidR="000E6FDC">
        <w:rPr>
          <w:lang w:val="en-GB"/>
        </w:rPr>
        <w:t>Instrument</w:t>
      </w:r>
      <w:r w:rsidR="00393DDF">
        <w:rPr>
          <w:lang w:val="en-GB"/>
        </w:rPr>
        <w:t xml:space="preserve"> I</w:t>
      </w:r>
      <w:r w:rsidR="00393DDF" w:rsidRPr="00732AC1">
        <w:rPr>
          <w:lang w:val="en-GB"/>
        </w:rPr>
        <w:t>dentifier available</w:t>
      </w:r>
      <w:r w:rsidR="00393DDF">
        <w:rPr>
          <w:lang w:val="en-GB"/>
        </w:rPr>
        <w:t>,</w:t>
      </w:r>
      <w:r w:rsidR="00393DDF" w:rsidRPr="00080375">
        <w:rPr>
          <w:lang w:val="en-GB"/>
        </w:rPr>
        <w:t xml:space="preserve"> </w:t>
      </w:r>
      <w:r w:rsidR="00393DDF">
        <w:rPr>
          <w:lang w:val="en-GB"/>
        </w:rPr>
        <w:t>a w</w:t>
      </w:r>
      <w:r w:rsidRPr="00995AAB">
        <w:rPr>
          <w:lang w:val="en-GB"/>
        </w:rPr>
        <w:t>ritten description of financial instrument, (including the currency of the underlying instrument, price multiplier, price notation, quantity notation and delivery type)</w:t>
      </w:r>
    </w:p>
    <w:p w14:paraId="1CD0A97F" w14:textId="77777777" w:rsidR="002473ED" w:rsidRPr="00F842B7" w:rsidRDefault="002473ED" w:rsidP="002473ED">
      <w:pPr>
        <w:rPr>
          <w:lang w:val="fr-FR"/>
        </w:rPr>
      </w:pPr>
      <w:r w:rsidRPr="00F842B7">
        <w:rPr>
          <w:lang w:val="fr-FR"/>
        </w:rPr>
        <w:t>2d)</w:t>
      </w:r>
      <w:r w:rsidRPr="00F842B7">
        <w:rPr>
          <w:lang w:val="fr-FR"/>
        </w:rPr>
        <w:tab/>
        <w:t>Instrument Classification - CFI code [ISO10962]</w:t>
      </w:r>
    </w:p>
    <w:p w14:paraId="0C032004" w14:textId="77777777" w:rsidR="002473ED" w:rsidRDefault="00D622C3" w:rsidP="00554CF0">
      <w:pPr>
        <w:rPr>
          <w:lang w:val="en-GB"/>
        </w:rPr>
      </w:pPr>
      <w:r w:rsidRPr="00995AAB">
        <w:rPr>
          <w:lang w:val="en-GB"/>
        </w:rPr>
        <w:t>2e)</w:t>
      </w:r>
      <w:r w:rsidRPr="00995AAB">
        <w:rPr>
          <w:lang w:val="en-GB"/>
        </w:rPr>
        <w:tab/>
        <w:t xml:space="preserve">Currency </w:t>
      </w:r>
      <w:r w:rsidR="002473ED" w:rsidRPr="00995AAB">
        <w:rPr>
          <w:lang w:val="en-GB"/>
        </w:rPr>
        <w:t>- CCY [ISO4217]</w:t>
      </w:r>
    </w:p>
    <w:p w14:paraId="6EEFF9BD" w14:textId="77777777" w:rsidR="00B07952" w:rsidRDefault="00B07952" w:rsidP="00554CF0">
      <w:pPr>
        <w:rPr>
          <w:lang w:val="en-GB"/>
        </w:rPr>
      </w:pPr>
    </w:p>
    <w:p w14:paraId="074CC206" w14:textId="6050CB0A" w:rsidR="00B07952" w:rsidRDefault="00B07952" w:rsidP="00554CF0">
      <w:pPr>
        <w:rPr>
          <w:lang w:val="en-GB"/>
        </w:rPr>
      </w:pPr>
      <w:r>
        <w:rPr>
          <w:lang w:val="en-GB"/>
        </w:rPr>
        <w:t>It is the consensus of the FIX Trading Community that the Currency stated in 2e) is the currency the financial instrument is traded in.</w:t>
      </w:r>
    </w:p>
    <w:p w14:paraId="168A1B06" w14:textId="77777777" w:rsidR="00EA2BD2" w:rsidRPr="00995AAB" w:rsidRDefault="00EA2BD2" w:rsidP="00554CF0">
      <w:pPr>
        <w:rPr>
          <w:lang w:val="en-GB"/>
        </w:rPr>
      </w:pPr>
    </w:p>
    <w:p w14:paraId="26BC051F" w14:textId="77777777" w:rsidR="00DF2938" w:rsidRPr="00995AAB" w:rsidRDefault="00DF2938" w:rsidP="002005D5">
      <w:pPr>
        <w:pStyle w:val="Heading3"/>
        <w:rPr>
          <w:lang w:val="en-GB"/>
        </w:rPr>
      </w:pPr>
      <w:bookmarkStart w:id="49" w:name="_Toc495562559"/>
      <w:r w:rsidRPr="00995AAB">
        <w:rPr>
          <w:lang w:val="en-GB"/>
        </w:rPr>
        <w:t>Table 3 - Article 4(a)</w:t>
      </w:r>
      <w:r w:rsidR="00D47F41" w:rsidRPr="00995AAB">
        <w:rPr>
          <w:lang w:val="en-GB"/>
        </w:rPr>
        <w:t>: Price information: Intra-Day</w:t>
      </w:r>
      <w:bookmarkEnd w:id="49"/>
    </w:p>
    <w:p w14:paraId="161D3ECC" w14:textId="77777777" w:rsidR="002B4094" w:rsidRPr="0088504D" w:rsidRDefault="002B4094" w:rsidP="00FD62CD">
      <w:pPr>
        <w:pStyle w:val="Heading4"/>
        <w:rPr>
          <w:lang w:val="en-GB"/>
        </w:rPr>
      </w:pPr>
      <w:r w:rsidRPr="0088504D">
        <w:rPr>
          <w:lang w:val="en-GB"/>
        </w:rPr>
        <w:t>Table Format</w:t>
      </w:r>
      <w:r w:rsidR="003F422E" w:rsidRPr="0088504D">
        <w:rPr>
          <w:lang w:val="en-GB"/>
        </w:rPr>
        <w:t xml:space="preserve"> (one table per instrument per market segment per day)</w:t>
      </w:r>
    </w:p>
    <w:tbl>
      <w:tblPr>
        <w:tblW w:w="10860" w:type="dxa"/>
        <w:tblInd w:w="-741" w:type="dxa"/>
        <w:tblLook w:val="04A0" w:firstRow="1" w:lastRow="0" w:firstColumn="1" w:lastColumn="0" w:noHBand="0" w:noVBand="1"/>
      </w:tblPr>
      <w:tblGrid>
        <w:gridCol w:w="911"/>
        <w:gridCol w:w="669"/>
        <w:gridCol w:w="1192"/>
        <w:gridCol w:w="1191"/>
        <w:gridCol w:w="925"/>
        <w:gridCol w:w="980"/>
        <w:gridCol w:w="1072"/>
        <w:gridCol w:w="980"/>
        <w:gridCol w:w="980"/>
        <w:gridCol w:w="980"/>
        <w:gridCol w:w="980"/>
      </w:tblGrid>
      <w:tr w:rsidR="00D819D2" w:rsidRPr="00080375" w14:paraId="7144A99E" w14:textId="77777777" w:rsidTr="00D819D2">
        <w:trPr>
          <w:trHeight w:val="660"/>
        </w:trPr>
        <w:tc>
          <w:tcPr>
            <w:tcW w:w="911" w:type="dxa"/>
            <w:tcBorders>
              <w:top w:val="single" w:sz="8" w:space="0" w:color="auto"/>
              <w:left w:val="single" w:sz="8" w:space="0" w:color="auto"/>
              <w:bottom w:val="single" w:sz="4" w:space="0" w:color="auto"/>
              <w:right w:val="nil"/>
            </w:tcBorders>
            <w:shd w:val="clear" w:color="000000" w:fill="D9D9D9"/>
            <w:hideMark/>
          </w:tcPr>
          <w:p w14:paraId="7AFEC4FD"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c>
          <w:tcPr>
            <w:tcW w:w="669" w:type="dxa"/>
            <w:tcBorders>
              <w:top w:val="single" w:sz="8" w:space="0" w:color="auto"/>
              <w:left w:val="nil"/>
              <w:bottom w:val="single" w:sz="4" w:space="0" w:color="auto"/>
              <w:right w:val="nil"/>
            </w:tcBorders>
            <w:shd w:val="clear" w:color="000000" w:fill="D9D9D9"/>
            <w:hideMark/>
          </w:tcPr>
          <w:p w14:paraId="1AD8168C"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Size Range</w:t>
            </w:r>
          </w:p>
        </w:tc>
        <w:tc>
          <w:tcPr>
            <w:tcW w:w="2383" w:type="dxa"/>
            <w:gridSpan w:val="2"/>
            <w:tcBorders>
              <w:top w:val="single" w:sz="8" w:space="0" w:color="auto"/>
              <w:left w:val="single" w:sz="4" w:space="0" w:color="auto"/>
              <w:bottom w:val="single" w:sz="4" w:space="0" w:color="auto"/>
              <w:right w:val="single" w:sz="4" w:space="0" w:color="auto"/>
            </w:tcBorders>
            <w:shd w:val="clear" w:color="000000" w:fill="D9D9D9"/>
            <w:hideMark/>
          </w:tcPr>
          <w:p w14:paraId="6EE5BD6B" w14:textId="77777777" w:rsidR="00D819D2" w:rsidRPr="00995AAB" w:rsidRDefault="00D819D2" w:rsidP="00D819D2">
            <w:pPr>
              <w:jc w:val="center"/>
              <w:rPr>
                <w:rFonts w:ascii="Calibri" w:hAnsi="Calibri"/>
                <w:color w:val="000000"/>
                <w:sz w:val="16"/>
                <w:szCs w:val="16"/>
                <w:lang w:val="en-GB"/>
              </w:rPr>
            </w:pPr>
            <w:r w:rsidRPr="00995AAB">
              <w:rPr>
                <w:rFonts w:ascii="Calibri" w:hAnsi="Calibri"/>
                <w:color w:val="000000"/>
                <w:sz w:val="16"/>
                <w:szCs w:val="16"/>
                <w:lang w:val="en-GB"/>
              </w:rPr>
              <w:t>All Trades Executed within 2 minutes after time T</w:t>
            </w:r>
          </w:p>
        </w:tc>
        <w:tc>
          <w:tcPr>
            <w:tcW w:w="6897" w:type="dxa"/>
            <w:gridSpan w:val="7"/>
            <w:tcBorders>
              <w:top w:val="single" w:sz="8" w:space="0" w:color="auto"/>
              <w:left w:val="nil"/>
              <w:bottom w:val="single" w:sz="4" w:space="0" w:color="auto"/>
              <w:right w:val="single" w:sz="8" w:space="0" w:color="000000"/>
            </w:tcBorders>
            <w:shd w:val="clear" w:color="000000" w:fill="D9D9D9"/>
            <w:hideMark/>
          </w:tcPr>
          <w:p w14:paraId="7EA0936D" w14:textId="77777777" w:rsidR="00D819D2" w:rsidRPr="00995AAB" w:rsidRDefault="00D819D2" w:rsidP="00D819D2">
            <w:pPr>
              <w:jc w:val="center"/>
              <w:rPr>
                <w:rFonts w:ascii="Calibri" w:hAnsi="Calibri"/>
                <w:color w:val="000000"/>
                <w:sz w:val="16"/>
                <w:szCs w:val="16"/>
                <w:lang w:val="en-GB"/>
              </w:rPr>
            </w:pPr>
            <w:r w:rsidRPr="00995AAB">
              <w:rPr>
                <w:rFonts w:ascii="Calibri" w:hAnsi="Calibri"/>
                <w:color w:val="000000"/>
                <w:sz w:val="16"/>
                <w:szCs w:val="16"/>
                <w:lang w:val="en-GB"/>
              </w:rPr>
              <w:t>First Transaction after time T (if no transaction within two minutes after time T)</w:t>
            </w:r>
          </w:p>
        </w:tc>
      </w:tr>
      <w:tr w:rsidR="00D819D2" w:rsidRPr="00080375" w14:paraId="0F29D79C" w14:textId="77777777" w:rsidTr="00D819D2">
        <w:trPr>
          <w:trHeight w:val="1460"/>
        </w:trPr>
        <w:tc>
          <w:tcPr>
            <w:tcW w:w="911" w:type="dxa"/>
            <w:tcBorders>
              <w:top w:val="nil"/>
              <w:left w:val="single" w:sz="8" w:space="0" w:color="auto"/>
              <w:bottom w:val="single" w:sz="4" w:space="0" w:color="auto"/>
              <w:right w:val="nil"/>
            </w:tcBorders>
            <w:shd w:val="clear" w:color="000000" w:fill="D9D9D9"/>
            <w:vAlign w:val="bottom"/>
            <w:hideMark/>
          </w:tcPr>
          <w:p w14:paraId="722BF753"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Time (T)</w:t>
            </w:r>
          </w:p>
        </w:tc>
        <w:tc>
          <w:tcPr>
            <w:tcW w:w="669" w:type="dxa"/>
            <w:tcBorders>
              <w:top w:val="nil"/>
              <w:left w:val="nil"/>
              <w:bottom w:val="single" w:sz="4" w:space="0" w:color="auto"/>
              <w:right w:val="nil"/>
            </w:tcBorders>
            <w:shd w:val="clear" w:color="000000" w:fill="D9D9D9"/>
            <w:vAlign w:val="bottom"/>
            <w:hideMark/>
          </w:tcPr>
          <w:p w14:paraId="1BBC1EC5"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c>
          <w:tcPr>
            <w:tcW w:w="1192" w:type="dxa"/>
            <w:tcBorders>
              <w:top w:val="nil"/>
              <w:left w:val="single" w:sz="4" w:space="0" w:color="auto"/>
              <w:bottom w:val="single" w:sz="4" w:space="0" w:color="auto"/>
              <w:right w:val="single" w:sz="4" w:space="0" w:color="auto"/>
            </w:tcBorders>
            <w:shd w:val="clear" w:color="000000" w:fill="D9D9D9"/>
            <w:vAlign w:val="bottom"/>
            <w:hideMark/>
          </w:tcPr>
          <w:p w14:paraId="1AF52989" w14:textId="77777777" w:rsidR="00D819D2" w:rsidRPr="00995AAB" w:rsidRDefault="00D819D2" w:rsidP="00D819D2">
            <w:pPr>
              <w:jc w:val="center"/>
              <w:rPr>
                <w:rFonts w:ascii="Calibri" w:hAnsi="Calibri"/>
                <w:color w:val="000000"/>
                <w:sz w:val="16"/>
                <w:szCs w:val="16"/>
                <w:lang w:val="en-GB"/>
              </w:rPr>
            </w:pPr>
            <w:r w:rsidRPr="00995AAB">
              <w:rPr>
                <w:rFonts w:ascii="Calibri" w:hAnsi="Calibri"/>
                <w:color w:val="000000"/>
                <w:sz w:val="16"/>
                <w:szCs w:val="16"/>
                <w:lang w:val="en-GB"/>
              </w:rPr>
              <w:t>Simple average executed price</w:t>
            </w:r>
          </w:p>
        </w:tc>
        <w:tc>
          <w:tcPr>
            <w:tcW w:w="1191" w:type="dxa"/>
            <w:tcBorders>
              <w:top w:val="nil"/>
              <w:left w:val="nil"/>
              <w:bottom w:val="single" w:sz="4" w:space="0" w:color="auto"/>
              <w:right w:val="single" w:sz="4" w:space="0" w:color="auto"/>
            </w:tcBorders>
            <w:shd w:val="clear" w:color="000000" w:fill="D9D9D9"/>
            <w:vAlign w:val="bottom"/>
            <w:hideMark/>
          </w:tcPr>
          <w:p w14:paraId="4A472890" w14:textId="77777777" w:rsidR="00D819D2" w:rsidRPr="00995AAB" w:rsidRDefault="00D819D2" w:rsidP="00D819D2">
            <w:pPr>
              <w:jc w:val="center"/>
              <w:rPr>
                <w:rFonts w:ascii="Calibri" w:hAnsi="Calibri"/>
                <w:color w:val="000000"/>
                <w:sz w:val="16"/>
                <w:szCs w:val="16"/>
                <w:lang w:val="en-GB"/>
              </w:rPr>
            </w:pPr>
            <w:r w:rsidRPr="00995AAB">
              <w:rPr>
                <w:rFonts w:ascii="Calibri" w:hAnsi="Calibri"/>
                <w:color w:val="000000"/>
                <w:sz w:val="16"/>
                <w:szCs w:val="16"/>
                <w:lang w:val="en-GB"/>
              </w:rPr>
              <w:t>Total Value Executed</w:t>
            </w:r>
          </w:p>
        </w:tc>
        <w:tc>
          <w:tcPr>
            <w:tcW w:w="925" w:type="dxa"/>
            <w:tcBorders>
              <w:top w:val="nil"/>
              <w:left w:val="nil"/>
              <w:bottom w:val="single" w:sz="4" w:space="0" w:color="auto"/>
              <w:right w:val="single" w:sz="4" w:space="0" w:color="auto"/>
            </w:tcBorders>
            <w:shd w:val="clear" w:color="000000" w:fill="D9D9D9"/>
            <w:vAlign w:val="bottom"/>
            <w:hideMark/>
          </w:tcPr>
          <w:p w14:paraId="26EBF435"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Price</w:t>
            </w:r>
          </w:p>
        </w:tc>
        <w:tc>
          <w:tcPr>
            <w:tcW w:w="980" w:type="dxa"/>
            <w:tcBorders>
              <w:top w:val="nil"/>
              <w:left w:val="nil"/>
              <w:bottom w:val="single" w:sz="4" w:space="0" w:color="auto"/>
              <w:right w:val="single" w:sz="4" w:space="0" w:color="auto"/>
            </w:tcBorders>
            <w:shd w:val="clear" w:color="000000" w:fill="D9D9D9"/>
            <w:vAlign w:val="bottom"/>
            <w:hideMark/>
          </w:tcPr>
          <w:p w14:paraId="45044B34"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Time of Execution</w:t>
            </w:r>
          </w:p>
        </w:tc>
        <w:tc>
          <w:tcPr>
            <w:tcW w:w="1072" w:type="dxa"/>
            <w:tcBorders>
              <w:top w:val="nil"/>
              <w:left w:val="nil"/>
              <w:bottom w:val="single" w:sz="4" w:space="0" w:color="auto"/>
              <w:right w:val="single" w:sz="4" w:space="0" w:color="auto"/>
            </w:tcBorders>
            <w:shd w:val="clear" w:color="000000" w:fill="D9D9D9"/>
            <w:vAlign w:val="bottom"/>
            <w:hideMark/>
          </w:tcPr>
          <w:p w14:paraId="50C5DB56"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Transaction Size</w:t>
            </w:r>
          </w:p>
        </w:tc>
        <w:tc>
          <w:tcPr>
            <w:tcW w:w="980" w:type="dxa"/>
            <w:tcBorders>
              <w:top w:val="nil"/>
              <w:left w:val="nil"/>
              <w:bottom w:val="single" w:sz="4" w:space="0" w:color="auto"/>
              <w:right w:val="single" w:sz="4" w:space="0" w:color="auto"/>
            </w:tcBorders>
            <w:shd w:val="clear" w:color="000000" w:fill="D9D9D9"/>
            <w:vAlign w:val="bottom"/>
            <w:hideMark/>
          </w:tcPr>
          <w:p w14:paraId="517C5D17"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Trading System</w:t>
            </w:r>
          </w:p>
        </w:tc>
        <w:tc>
          <w:tcPr>
            <w:tcW w:w="980" w:type="dxa"/>
            <w:tcBorders>
              <w:top w:val="nil"/>
              <w:left w:val="nil"/>
              <w:bottom w:val="single" w:sz="4" w:space="0" w:color="auto"/>
              <w:right w:val="single" w:sz="4" w:space="0" w:color="auto"/>
            </w:tcBorders>
            <w:shd w:val="clear" w:color="000000" w:fill="D9D9D9"/>
            <w:vAlign w:val="bottom"/>
            <w:hideMark/>
          </w:tcPr>
          <w:p w14:paraId="2B0C15F2"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Trading Mode</w:t>
            </w:r>
          </w:p>
        </w:tc>
        <w:tc>
          <w:tcPr>
            <w:tcW w:w="980" w:type="dxa"/>
            <w:tcBorders>
              <w:top w:val="nil"/>
              <w:left w:val="nil"/>
              <w:bottom w:val="single" w:sz="4" w:space="0" w:color="auto"/>
              <w:right w:val="single" w:sz="4" w:space="0" w:color="auto"/>
            </w:tcBorders>
            <w:shd w:val="clear" w:color="000000" w:fill="D9D9D9"/>
            <w:vAlign w:val="bottom"/>
            <w:hideMark/>
          </w:tcPr>
          <w:p w14:paraId="09B2AF8C"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xml:space="preserve">Trading Platform </w:t>
            </w:r>
          </w:p>
        </w:tc>
        <w:tc>
          <w:tcPr>
            <w:tcW w:w="980" w:type="dxa"/>
            <w:tcBorders>
              <w:top w:val="nil"/>
              <w:left w:val="nil"/>
              <w:bottom w:val="single" w:sz="4" w:space="0" w:color="auto"/>
              <w:right w:val="single" w:sz="8" w:space="0" w:color="auto"/>
            </w:tcBorders>
            <w:shd w:val="clear" w:color="000000" w:fill="D9D9D9"/>
            <w:vAlign w:val="bottom"/>
            <w:hideMark/>
          </w:tcPr>
          <w:p w14:paraId="27053E0A"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Best Bid/Offer or suitable reference price at time of execution</w:t>
            </w:r>
          </w:p>
        </w:tc>
      </w:tr>
      <w:tr w:rsidR="00D819D2" w:rsidRPr="00080375" w14:paraId="41833599" w14:textId="77777777" w:rsidTr="00C04F06">
        <w:trPr>
          <w:trHeight w:val="320"/>
        </w:trPr>
        <w:tc>
          <w:tcPr>
            <w:tcW w:w="911" w:type="dxa"/>
            <w:tcBorders>
              <w:top w:val="nil"/>
              <w:left w:val="single" w:sz="8" w:space="0" w:color="auto"/>
              <w:bottom w:val="single" w:sz="4" w:space="0" w:color="auto"/>
              <w:right w:val="nil"/>
            </w:tcBorders>
            <w:shd w:val="clear" w:color="000000" w:fill="D9D9D9"/>
            <w:hideMark/>
          </w:tcPr>
          <w:p w14:paraId="53412435"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09.30.00</w:t>
            </w:r>
          </w:p>
        </w:tc>
        <w:tc>
          <w:tcPr>
            <w:tcW w:w="669" w:type="dxa"/>
            <w:tcBorders>
              <w:top w:val="nil"/>
              <w:left w:val="nil"/>
              <w:bottom w:val="single" w:sz="4" w:space="0" w:color="auto"/>
              <w:right w:val="nil"/>
            </w:tcBorders>
            <w:shd w:val="clear" w:color="000000" w:fill="D9D9D9"/>
            <w:hideMark/>
          </w:tcPr>
          <w:p w14:paraId="0516E95D" w14:textId="77777777" w:rsidR="00D819D2" w:rsidRPr="00995AAB" w:rsidRDefault="00D819D2" w:rsidP="00D819D2">
            <w:pPr>
              <w:jc w:val="center"/>
              <w:rPr>
                <w:rFonts w:ascii="Calibri" w:hAnsi="Calibri"/>
                <w:color w:val="FF0000"/>
                <w:sz w:val="16"/>
                <w:szCs w:val="16"/>
                <w:lang w:val="en-GB"/>
              </w:rPr>
            </w:pPr>
            <w:r w:rsidRPr="00995AAB">
              <w:rPr>
                <w:rFonts w:ascii="Calibri" w:hAnsi="Calibri"/>
                <w:color w:val="FF0000"/>
                <w:sz w:val="16"/>
                <w:szCs w:val="16"/>
                <w:lang w:val="en-GB"/>
              </w:rPr>
              <w:t>1</w:t>
            </w:r>
          </w:p>
        </w:tc>
        <w:tc>
          <w:tcPr>
            <w:tcW w:w="1192" w:type="dxa"/>
            <w:tcBorders>
              <w:top w:val="nil"/>
              <w:left w:val="single" w:sz="4" w:space="0" w:color="auto"/>
              <w:bottom w:val="single" w:sz="4" w:space="0" w:color="auto"/>
              <w:right w:val="single" w:sz="4" w:space="0" w:color="auto"/>
            </w:tcBorders>
            <w:shd w:val="clear" w:color="auto" w:fill="auto"/>
            <w:vAlign w:val="center"/>
            <w:hideMark/>
          </w:tcPr>
          <w:p w14:paraId="5B033BAC" w14:textId="77777777" w:rsidR="00D819D2" w:rsidRPr="00995AAB" w:rsidRDefault="00D819D2" w:rsidP="00C04F06">
            <w:pPr>
              <w:rPr>
                <w:rFonts w:ascii="Calibri" w:hAnsi="Calibri"/>
                <w:color w:val="FF0000"/>
                <w:sz w:val="16"/>
                <w:szCs w:val="16"/>
                <w:lang w:val="en-GB"/>
              </w:rPr>
            </w:pPr>
            <w:r w:rsidRPr="00995AAB">
              <w:rPr>
                <w:rFonts w:ascii="Calibri" w:hAnsi="Calibri"/>
                <w:color w:val="FF0000"/>
                <w:sz w:val="16"/>
                <w:szCs w:val="16"/>
                <w:lang w:val="en-GB"/>
              </w:rPr>
              <w:t>3a)</w:t>
            </w:r>
          </w:p>
        </w:tc>
        <w:tc>
          <w:tcPr>
            <w:tcW w:w="1191" w:type="dxa"/>
            <w:tcBorders>
              <w:top w:val="nil"/>
              <w:left w:val="nil"/>
              <w:bottom w:val="single" w:sz="4" w:space="0" w:color="auto"/>
              <w:right w:val="single" w:sz="4" w:space="0" w:color="auto"/>
            </w:tcBorders>
            <w:shd w:val="clear" w:color="auto" w:fill="auto"/>
            <w:vAlign w:val="center"/>
            <w:hideMark/>
          </w:tcPr>
          <w:p w14:paraId="261519BE" w14:textId="77777777" w:rsidR="00D819D2" w:rsidRPr="00995AAB" w:rsidRDefault="00D819D2" w:rsidP="00C04F06">
            <w:pPr>
              <w:rPr>
                <w:rFonts w:ascii="Calibri" w:hAnsi="Calibri"/>
                <w:color w:val="FF0000"/>
                <w:sz w:val="16"/>
                <w:szCs w:val="16"/>
                <w:lang w:val="en-GB"/>
              </w:rPr>
            </w:pPr>
            <w:r w:rsidRPr="00995AAB">
              <w:rPr>
                <w:rFonts w:ascii="Calibri" w:hAnsi="Calibri"/>
                <w:color w:val="FF0000"/>
                <w:sz w:val="16"/>
                <w:szCs w:val="16"/>
                <w:lang w:val="en-GB"/>
              </w:rPr>
              <w:t>3b)</w:t>
            </w:r>
          </w:p>
        </w:tc>
        <w:tc>
          <w:tcPr>
            <w:tcW w:w="925" w:type="dxa"/>
            <w:tcBorders>
              <w:top w:val="nil"/>
              <w:left w:val="nil"/>
              <w:bottom w:val="single" w:sz="4" w:space="0" w:color="auto"/>
              <w:right w:val="single" w:sz="4" w:space="0" w:color="auto"/>
            </w:tcBorders>
            <w:shd w:val="clear" w:color="auto" w:fill="auto"/>
            <w:vAlign w:val="center"/>
            <w:hideMark/>
          </w:tcPr>
          <w:p w14:paraId="128942DA" w14:textId="77777777" w:rsidR="00D819D2" w:rsidRPr="00995AAB" w:rsidRDefault="00D819D2" w:rsidP="00C04F06">
            <w:pPr>
              <w:rPr>
                <w:rFonts w:ascii="Calibri" w:hAnsi="Calibri"/>
                <w:color w:val="FF0000"/>
                <w:sz w:val="16"/>
                <w:szCs w:val="16"/>
                <w:lang w:val="en-GB"/>
              </w:rPr>
            </w:pPr>
            <w:r w:rsidRPr="00995AAB">
              <w:rPr>
                <w:rFonts w:ascii="Calibri" w:hAnsi="Calibri"/>
                <w:color w:val="FF0000"/>
                <w:sz w:val="16"/>
                <w:szCs w:val="16"/>
                <w:lang w:val="en-GB"/>
              </w:rPr>
              <w:t>3c)</w:t>
            </w:r>
          </w:p>
        </w:tc>
        <w:tc>
          <w:tcPr>
            <w:tcW w:w="980" w:type="dxa"/>
            <w:tcBorders>
              <w:top w:val="nil"/>
              <w:left w:val="nil"/>
              <w:bottom w:val="single" w:sz="4" w:space="0" w:color="auto"/>
              <w:right w:val="single" w:sz="4" w:space="0" w:color="auto"/>
            </w:tcBorders>
            <w:shd w:val="clear" w:color="auto" w:fill="auto"/>
            <w:noWrap/>
            <w:vAlign w:val="center"/>
            <w:hideMark/>
          </w:tcPr>
          <w:p w14:paraId="36D65AD8" w14:textId="77777777" w:rsidR="00D819D2" w:rsidRPr="00995AAB" w:rsidRDefault="00D819D2" w:rsidP="00C04F06">
            <w:pPr>
              <w:rPr>
                <w:rFonts w:ascii="Calibri" w:hAnsi="Calibri"/>
                <w:color w:val="FF0000"/>
                <w:sz w:val="16"/>
                <w:szCs w:val="16"/>
                <w:lang w:val="en-GB"/>
              </w:rPr>
            </w:pPr>
            <w:r w:rsidRPr="00995AAB">
              <w:rPr>
                <w:rFonts w:ascii="Calibri" w:hAnsi="Calibri"/>
                <w:color w:val="FF0000"/>
                <w:sz w:val="16"/>
                <w:szCs w:val="16"/>
                <w:lang w:val="en-GB"/>
              </w:rPr>
              <w:t>3d)</w:t>
            </w:r>
          </w:p>
        </w:tc>
        <w:tc>
          <w:tcPr>
            <w:tcW w:w="1072" w:type="dxa"/>
            <w:tcBorders>
              <w:top w:val="nil"/>
              <w:left w:val="nil"/>
              <w:bottom w:val="single" w:sz="4" w:space="0" w:color="auto"/>
              <w:right w:val="single" w:sz="4" w:space="0" w:color="auto"/>
            </w:tcBorders>
            <w:shd w:val="clear" w:color="auto" w:fill="auto"/>
            <w:noWrap/>
            <w:vAlign w:val="center"/>
            <w:hideMark/>
          </w:tcPr>
          <w:p w14:paraId="5867EC68" w14:textId="77777777" w:rsidR="00D819D2" w:rsidRPr="00995AAB" w:rsidRDefault="00D819D2" w:rsidP="00C04F06">
            <w:pPr>
              <w:rPr>
                <w:rFonts w:ascii="Calibri" w:hAnsi="Calibri"/>
                <w:color w:val="FF0000"/>
                <w:sz w:val="16"/>
                <w:szCs w:val="16"/>
                <w:lang w:val="en-GB"/>
              </w:rPr>
            </w:pPr>
            <w:r w:rsidRPr="00995AAB">
              <w:rPr>
                <w:rFonts w:ascii="Calibri" w:hAnsi="Calibri"/>
                <w:color w:val="FF0000"/>
                <w:sz w:val="16"/>
                <w:szCs w:val="16"/>
                <w:lang w:val="en-GB"/>
              </w:rPr>
              <w:t>3e)</w:t>
            </w:r>
          </w:p>
        </w:tc>
        <w:tc>
          <w:tcPr>
            <w:tcW w:w="980" w:type="dxa"/>
            <w:tcBorders>
              <w:top w:val="nil"/>
              <w:left w:val="nil"/>
              <w:bottom w:val="single" w:sz="4" w:space="0" w:color="auto"/>
              <w:right w:val="single" w:sz="4" w:space="0" w:color="auto"/>
            </w:tcBorders>
            <w:shd w:val="clear" w:color="auto" w:fill="auto"/>
            <w:noWrap/>
            <w:vAlign w:val="center"/>
            <w:hideMark/>
          </w:tcPr>
          <w:p w14:paraId="25E526C0" w14:textId="77777777" w:rsidR="00D819D2" w:rsidRPr="00995AAB" w:rsidRDefault="00D819D2" w:rsidP="00C04F06">
            <w:pPr>
              <w:rPr>
                <w:rFonts w:ascii="Calibri" w:hAnsi="Calibri"/>
                <w:color w:val="FF0000"/>
                <w:sz w:val="16"/>
                <w:szCs w:val="16"/>
                <w:lang w:val="en-GB"/>
              </w:rPr>
            </w:pPr>
            <w:r w:rsidRPr="00995AAB">
              <w:rPr>
                <w:rFonts w:ascii="Calibri" w:hAnsi="Calibri"/>
                <w:color w:val="FF0000"/>
                <w:sz w:val="16"/>
                <w:szCs w:val="16"/>
                <w:lang w:val="en-GB"/>
              </w:rPr>
              <w:t>3f)</w:t>
            </w:r>
          </w:p>
        </w:tc>
        <w:tc>
          <w:tcPr>
            <w:tcW w:w="980" w:type="dxa"/>
            <w:tcBorders>
              <w:top w:val="nil"/>
              <w:left w:val="nil"/>
              <w:bottom w:val="single" w:sz="4" w:space="0" w:color="auto"/>
              <w:right w:val="single" w:sz="4" w:space="0" w:color="auto"/>
            </w:tcBorders>
            <w:shd w:val="clear" w:color="auto" w:fill="auto"/>
            <w:noWrap/>
            <w:vAlign w:val="center"/>
            <w:hideMark/>
          </w:tcPr>
          <w:p w14:paraId="630C6CD7" w14:textId="77777777" w:rsidR="00D819D2" w:rsidRPr="00995AAB" w:rsidRDefault="00D819D2" w:rsidP="00C04F06">
            <w:pPr>
              <w:rPr>
                <w:rFonts w:ascii="Calibri" w:hAnsi="Calibri"/>
                <w:color w:val="FF0000"/>
                <w:sz w:val="16"/>
                <w:szCs w:val="16"/>
                <w:lang w:val="en-GB"/>
              </w:rPr>
            </w:pPr>
            <w:r w:rsidRPr="00995AAB">
              <w:rPr>
                <w:rFonts w:ascii="Calibri" w:hAnsi="Calibri"/>
                <w:color w:val="FF0000"/>
                <w:sz w:val="16"/>
                <w:szCs w:val="16"/>
                <w:lang w:val="en-GB"/>
              </w:rPr>
              <w:t>3g)</w:t>
            </w:r>
          </w:p>
        </w:tc>
        <w:tc>
          <w:tcPr>
            <w:tcW w:w="980" w:type="dxa"/>
            <w:tcBorders>
              <w:top w:val="nil"/>
              <w:left w:val="nil"/>
              <w:bottom w:val="single" w:sz="4" w:space="0" w:color="auto"/>
              <w:right w:val="single" w:sz="4" w:space="0" w:color="auto"/>
            </w:tcBorders>
            <w:shd w:val="clear" w:color="auto" w:fill="auto"/>
            <w:noWrap/>
            <w:vAlign w:val="center"/>
            <w:hideMark/>
          </w:tcPr>
          <w:p w14:paraId="6EB84CD1" w14:textId="77777777" w:rsidR="00D819D2" w:rsidRPr="00995AAB" w:rsidRDefault="00D819D2" w:rsidP="00C04F06">
            <w:pPr>
              <w:rPr>
                <w:rFonts w:ascii="Calibri" w:hAnsi="Calibri"/>
                <w:color w:val="FF0000"/>
                <w:sz w:val="16"/>
                <w:szCs w:val="16"/>
                <w:lang w:val="en-GB"/>
              </w:rPr>
            </w:pPr>
            <w:r w:rsidRPr="00995AAB">
              <w:rPr>
                <w:rFonts w:ascii="Calibri" w:hAnsi="Calibri"/>
                <w:color w:val="FF0000"/>
                <w:sz w:val="16"/>
                <w:szCs w:val="16"/>
                <w:lang w:val="en-GB"/>
              </w:rPr>
              <w:t>3h)</w:t>
            </w:r>
          </w:p>
        </w:tc>
        <w:tc>
          <w:tcPr>
            <w:tcW w:w="980" w:type="dxa"/>
            <w:tcBorders>
              <w:top w:val="nil"/>
              <w:left w:val="nil"/>
              <w:bottom w:val="single" w:sz="4" w:space="0" w:color="auto"/>
              <w:right w:val="single" w:sz="8" w:space="0" w:color="auto"/>
            </w:tcBorders>
            <w:shd w:val="clear" w:color="auto" w:fill="auto"/>
            <w:noWrap/>
            <w:vAlign w:val="center"/>
            <w:hideMark/>
          </w:tcPr>
          <w:p w14:paraId="2F67F087" w14:textId="77777777" w:rsidR="00D819D2" w:rsidRPr="00995AAB" w:rsidRDefault="00D819D2" w:rsidP="00C04F06">
            <w:pPr>
              <w:rPr>
                <w:rFonts w:ascii="Calibri" w:hAnsi="Calibri"/>
                <w:color w:val="FF0000"/>
                <w:sz w:val="16"/>
                <w:szCs w:val="16"/>
                <w:lang w:val="en-GB"/>
              </w:rPr>
            </w:pPr>
            <w:r w:rsidRPr="00995AAB">
              <w:rPr>
                <w:rFonts w:ascii="Calibri" w:hAnsi="Calibri"/>
                <w:color w:val="FF0000"/>
                <w:sz w:val="16"/>
                <w:szCs w:val="16"/>
                <w:lang w:val="en-GB"/>
              </w:rPr>
              <w:t>3i)</w:t>
            </w:r>
          </w:p>
        </w:tc>
      </w:tr>
      <w:tr w:rsidR="00D819D2" w:rsidRPr="00080375" w14:paraId="1A5CCD67" w14:textId="77777777" w:rsidTr="00D819D2">
        <w:trPr>
          <w:trHeight w:val="320"/>
        </w:trPr>
        <w:tc>
          <w:tcPr>
            <w:tcW w:w="911" w:type="dxa"/>
            <w:tcBorders>
              <w:top w:val="nil"/>
              <w:left w:val="single" w:sz="8" w:space="0" w:color="auto"/>
              <w:bottom w:val="single" w:sz="4" w:space="0" w:color="auto"/>
              <w:right w:val="nil"/>
            </w:tcBorders>
            <w:shd w:val="clear" w:color="000000" w:fill="D9D9D9"/>
            <w:hideMark/>
          </w:tcPr>
          <w:p w14:paraId="61ABFE27"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c>
          <w:tcPr>
            <w:tcW w:w="669" w:type="dxa"/>
            <w:tcBorders>
              <w:top w:val="nil"/>
              <w:left w:val="nil"/>
              <w:bottom w:val="single" w:sz="4" w:space="0" w:color="auto"/>
              <w:right w:val="nil"/>
            </w:tcBorders>
            <w:shd w:val="clear" w:color="000000" w:fill="D9D9D9"/>
            <w:hideMark/>
          </w:tcPr>
          <w:p w14:paraId="1E421AA0" w14:textId="77777777" w:rsidR="00D819D2" w:rsidRPr="00995AAB" w:rsidRDefault="00D819D2" w:rsidP="00D819D2">
            <w:pPr>
              <w:jc w:val="center"/>
              <w:rPr>
                <w:rFonts w:ascii="Calibri" w:hAnsi="Calibri"/>
                <w:color w:val="FF0000"/>
                <w:sz w:val="16"/>
                <w:szCs w:val="16"/>
                <w:lang w:val="en-GB"/>
              </w:rPr>
            </w:pPr>
            <w:r w:rsidRPr="00995AAB">
              <w:rPr>
                <w:rFonts w:ascii="Calibri" w:hAnsi="Calibri"/>
                <w:color w:val="FF0000"/>
                <w:sz w:val="16"/>
                <w:szCs w:val="16"/>
                <w:lang w:val="en-GB"/>
              </w:rPr>
              <w:t>2</w:t>
            </w:r>
          </w:p>
        </w:tc>
        <w:tc>
          <w:tcPr>
            <w:tcW w:w="1192" w:type="dxa"/>
            <w:tcBorders>
              <w:top w:val="nil"/>
              <w:left w:val="single" w:sz="4" w:space="0" w:color="auto"/>
              <w:bottom w:val="single" w:sz="4" w:space="0" w:color="auto"/>
              <w:right w:val="single" w:sz="4" w:space="0" w:color="auto"/>
            </w:tcBorders>
            <w:shd w:val="clear" w:color="auto" w:fill="auto"/>
            <w:hideMark/>
          </w:tcPr>
          <w:p w14:paraId="69043AA6"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c>
          <w:tcPr>
            <w:tcW w:w="1191" w:type="dxa"/>
            <w:tcBorders>
              <w:top w:val="nil"/>
              <w:left w:val="nil"/>
              <w:bottom w:val="single" w:sz="4" w:space="0" w:color="auto"/>
              <w:right w:val="single" w:sz="4" w:space="0" w:color="auto"/>
            </w:tcBorders>
            <w:shd w:val="clear" w:color="auto" w:fill="auto"/>
            <w:hideMark/>
          </w:tcPr>
          <w:p w14:paraId="624AD9EE"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c>
          <w:tcPr>
            <w:tcW w:w="925" w:type="dxa"/>
            <w:tcBorders>
              <w:top w:val="nil"/>
              <w:left w:val="nil"/>
              <w:bottom w:val="single" w:sz="4" w:space="0" w:color="auto"/>
              <w:right w:val="single" w:sz="4" w:space="0" w:color="auto"/>
            </w:tcBorders>
            <w:shd w:val="clear" w:color="auto" w:fill="auto"/>
            <w:hideMark/>
          </w:tcPr>
          <w:p w14:paraId="6C976151"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c>
          <w:tcPr>
            <w:tcW w:w="980" w:type="dxa"/>
            <w:tcBorders>
              <w:top w:val="nil"/>
              <w:left w:val="nil"/>
              <w:bottom w:val="single" w:sz="4" w:space="0" w:color="auto"/>
              <w:right w:val="single" w:sz="4" w:space="0" w:color="auto"/>
            </w:tcBorders>
            <w:shd w:val="clear" w:color="auto" w:fill="auto"/>
            <w:noWrap/>
            <w:vAlign w:val="bottom"/>
            <w:hideMark/>
          </w:tcPr>
          <w:p w14:paraId="067D42CF"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c>
          <w:tcPr>
            <w:tcW w:w="1072" w:type="dxa"/>
            <w:tcBorders>
              <w:top w:val="nil"/>
              <w:left w:val="nil"/>
              <w:bottom w:val="single" w:sz="4" w:space="0" w:color="auto"/>
              <w:right w:val="single" w:sz="4" w:space="0" w:color="auto"/>
            </w:tcBorders>
            <w:shd w:val="clear" w:color="auto" w:fill="auto"/>
            <w:noWrap/>
            <w:vAlign w:val="bottom"/>
            <w:hideMark/>
          </w:tcPr>
          <w:p w14:paraId="0E78C5B6"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c>
          <w:tcPr>
            <w:tcW w:w="980" w:type="dxa"/>
            <w:tcBorders>
              <w:top w:val="nil"/>
              <w:left w:val="nil"/>
              <w:bottom w:val="single" w:sz="4" w:space="0" w:color="auto"/>
              <w:right w:val="single" w:sz="4" w:space="0" w:color="auto"/>
            </w:tcBorders>
            <w:shd w:val="clear" w:color="auto" w:fill="auto"/>
            <w:noWrap/>
            <w:vAlign w:val="bottom"/>
            <w:hideMark/>
          </w:tcPr>
          <w:p w14:paraId="4A4587AC"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c>
          <w:tcPr>
            <w:tcW w:w="980" w:type="dxa"/>
            <w:tcBorders>
              <w:top w:val="nil"/>
              <w:left w:val="nil"/>
              <w:bottom w:val="single" w:sz="4" w:space="0" w:color="auto"/>
              <w:right w:val="single" w:sz="4" w:space="0" w:color="auto"/>
            </w:tcBorders>
            <w:shd w:val="clear" w:color="auto" w:fill="auto"/>
            <w:noWrap/>
            <w:vAlign w:val="bottom"/>
            <w:hideMark/>
          </w:tcPr>
          <w:p w14:paraId="68729FEF"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c>
          <w:tcPr>
            <w:tcW w:w="980" w:type="dxa"/>
            <w:tcBorders>
              <w:top w:val="nil"/>
              <w:left w:val="nil"/>
              <w:bottom w:val="single" w:sz="4" w:space="0" w:color="auto"/>
              <w:right w:val="single" w:sz="4" w:space="0" w:color="auto"/>
            </w:tcBorders>
            <w:shd w:val="clear" w:color="auto" w:fill="auto"/>
            <w:noWrap/>
            <w:vAlign w:val="bottom"/>
            <w:hideMark/>
          </w:tcPr>
          <w:p w14:paraId="106E747C"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c>
          <w:tcPr>
            <w:tcW w:w="980" w:type="dxa"/>
            <w:tcBorders>
              <w:top w:val="nil"/>
              <w:left w:val="nil"/>
              <w:bottom w:val="single" w:sz="4" w:space="0" w:color="auto"/>
              <w:right w:val="single" w:sz="8" w:space="0" w:color="auto"/>
            </w:tcBorders>
            <w:shd w:val="clear" w:color="auto" w:fill="auto"/>
            <w:noWrap/>
            <w:vAlign w:val="bottom"/>
            <w:hideMark/>
          </w:tcPr>
          <w:p w14:paraId="787778A8"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r>
      <w:tr w:rsidR="00D819D2" w:rsidRPr="00080375" w14:paraId="723CEE94" w14:textId="77777777" w:rsidTr="00D819D2">
        <w:trPr>
          <w:trHeight w:val="320"/>
        </w:trPr>
        <w:tc>
          <w:tcPr>
            <w:tcW w:w="911" w:type="dxa"/>
            <w:tcBorders>
              <w:top w:val="nil"/>
              <w:left w:val="single" w:sz="8" w:space="0" w:color="auto"/>
              <w:bottom w:val="single" w:sz="4" w:space="0" w:color="auto"/>
              <w:right w:val="nil"/>
            </w:tcBorders>
            <w:shd w:val="clear" w:color="000000" w:fill="D9D9D9"/>
            <w:hideMark/>
          </w:tcPr>
          <w:p w14:paraId="7540B25F"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c>
          <w:tcPr>
            <w:tcW w:w="669" w:type="dxa"/>
            <w:tcBorders>
              <w:top w:val="nil"/>
              <w:left w:val="nil"/>
              <w:bottom w:val="single" w:sz="4" w:space="0" w:color="auto"/>
              <w:right w:val="nil"/>
            </w:tcBorders>
            <w:shd w:val="clear" w:color="000000" w:fill="D9D9D9"/>
            <w:hideMark/>
          </w:tcPr>
          <w:p w14:paraId="4E07CB11" w14:textId="77777777" w:rsidR="00D819D2" w:rsidRPr="00995AAB" w:rsidRDefault="00D819D2" w:rsidP="00D819D2">
            <w:pPr>
              <w:jc w:val="center"/>
              <w:rPr>
                <w:rFonts w:ascii="Calibri" w:hAnsi="Calibri"/>
                <w:color w:val="FF0000"/>
                <w:sz w:val="16"/>
                <w:szCs w:val="16"/>
                <w:lang w:val="en-GB"/>
              </w:rPr>
            </w:pPr>
            <w:r w:rsidRPr="00995AAB">
              <w:rPr>
                <w:rFonts w:ascii="Calibri" w:hAnsi="Calibri"/>
                <w:color w:val="FF0000"/>
                <w:sz w:val="16"/>
                <w:szCs w:val="16"/>
                <w:lang w:val="en-GB"/>
              </w:rPr>
              <w:t>3</w:t>
            </w:r>
          </w:p>
        </w:tc>
        <w:tc>
          <w:tcPr>
            <w:tcW w:w="1192" w:type="dxa"/>
            <w:tcBorders>
              <w:top w:val="nil"/>
              <w:left w:val="single" w:sz="4" w:space="0" w:color="auto"/>
              <w:bottom w:val="single" w:sz="4" w:space="0" w:color="auto"/>
              <w:right w:val="single" w:sz="4" w:space="0" w:color="auto"/>
            </w:tcBorders>
            <w:shd w:val="clear" w:color="auto" w:fill="auto"/>
            <w:hideMark/>
          </w:tcPr>
          <w:p w14:paraId="1C061C07"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c>
          <w:tcPr>
            <w:tcW w:w="1191" w:type="dxa"/>
            <w:tcBorders>
              <w:top w:val="nil"/>
              <w:left w:val="nil"/>
              <w:bottom w:val="single" w:sz="4" w:space="0" w:color="auto"/>
              <w:right w:val="single" w:sz="4" w:space="0" w:color="auto"/>
            </w:tcBorders>
            <w:shd w:val="clear" w:color="auto" w:fill="auto"/>
            <w:hideMark/>
          </w:tcPr>
          <w:p w14:paraId="316DEBA5"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c>
          <w:tcPr>
            <w:tcW w:w="925" w:type="dxa"/>
            <w:tcBorders>
              <w:top w:val="nil"/>
              <w:left w:val="nil"/>
              <w:bottom w:val="single" w:sz="4" w:space="0" w:color="auto"/>
              <w:right w:val="single" w:sz="4" w:space="0" w:color="auto"/>
            </w:tcBorders>
            <w:shd w:val="clear" w:color="auto" w:fill="auto"/>
            <w:hideMark/>
          </w:tcPr>
          <w:p w14:paraId="60F5EE22"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c>
          <w:tcPr>
            <w:tcW w:w="980" w:type="dxa"/>
            <w:tcBorders>
              <w:top w:val="nil"/>
              <w:left w:val="nil"/>
              <w:bottom w:val="single" w:sz="4" w:space="0" w:color="auto"/>
              <w:right w:val="single" w:sz="4" w:space="0" w:color="auto"/>
            </w:tcBorders>
            <w:shd w:val="clear" w:color="auto" w:fill="auto"/>
            <w:noWrap/>
            <w:vAlign w:val="bottom"/>
            <w:hideMark/>
          </w:tcPr>
          <w:p w14:paraId="55BD7C58"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c>
          <w:tcPr>
            <w:tcW w:w="1072" w:type="dxa"/>
            <w:tcBorders>
              <w:top w:val="nil"/>
              <w:left w:val="nil"/>
              <w:bottom w:val="single" w:sz="4" w:space="0" w:color="auto"/>
              <w:right w:val="single" w:sz="4" w:space="0" w:color="auto"/>
            </w:tcBorders>
            <w:shd w:val="clear" w:color="auto" w:fill="auto"/>
            <w:noWrap/>
            <w:vAlign w:val="bottom"/>
            <w:hideMark/>
          </w:tcPr>
          <w:p w14:paraId="61582EAF"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c>
          <w:tcPr>
            <w:tcW w:w="980" w:type="dxa"/>
            <w:tcBorders>
              <w:top w:val="nil"/>
              <w:left w:val="nil"/>
              <w:bottom w:val="single" w:sz="4" w:space="0" w:color="auto"/>
              <w:right w:val="single" w:sz="4" w:space="0" w:color="auto"/>
            </w:tcBorders>
            <w:shd w:val="clear" w:color="auto" w:fill="auto"/>
            <w:noWrap/>
            <w:vAlign w:val="bottom"/>
            <w:hideMark/>
          </w:tcPr>
          <w:p w14:paraId="0F03CCF0"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c>
          <w:tcPr>
            <w:tcW w:w="980" w:type="dxa"/>
            <w:tcBorders>
              <w:top w:val="nil"/>
              <w:left w:val="nil"/>
              <w:bottom w:val="single" w:sz="4" w:space="0" w:color="auto"/>
              <w:right w:val="single" w:sz="4" w:space="0" w:color="auto"/>
            </w:tcBorders>
            <w:shd w:val="clear" w:color="auto" w:fill="auto"/>
            <w:noWrap/>
            <w:vAlign w:val="bottom"/>
            <w:hideMark/>
          </w:tcPr>
          <w:p w14:paraId="1FD9D31B"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c>
          <w:tcPr>
            <w:tcW w:w="980" w:type="dxa"/>
            <w:tcBorders>
              <w:top w:val="nil"/>
              <w:left w:val="nil"/>
              <w:bottom w:val="single" w:sz="4" w:space="0" w:color="auto"/>
              <w:right w:val="single" w:sz="4" w:space="0" w:color="auto"/>
            </w:tcBorders>
            <w:shd w:val="clear" w:color="auto" w:fill="auto"/>
            <w:noWrap/>
            <w:vAlign w:val="bottom"/>
            <w:hideMark/>
          </w:tcPr>
          <w:p w14:paraId="028463F7"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c>
          <w:tcPr>
            <w:tcW w:w="980" w:type="dxa"/>
            <w:tcBorders>
              <w:top w:val="nil"/>
              <w:left w:val="nil"/>
              <w:bottom w:val="single" w:sz="4" w:space="0" w:color="auto"/>
              <w:right w:val="single" w:sz="8" w:space="0" w:color="auto"/>
            </w:tcBorders>
            <w:shd w:val="clear" w:color="auto" w:fill="auto"/>
            <w:noWrap/>
            <w:vAlign w:val="bottom"/>
            <w:hideMark/>
          </w:tcPr>
          <w:p w14:paraId="2BFBB434"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r>
      <w:tr w:rsidR="00D819D2" w:rsidRPr="00080375" w14:paraId="183C32C4" w14:textId="77777777" w:rsidTr="00D819D2">
        <w:trPr>
          <w:trHeight w:val="320"/>
        </w:trPr>
        <w:tc>
          <w:tcPr>
            <w:tcW w:w="911" w:type="dxa"/>
            <w:tcBorders>
              <w:top w:val="nil"/>
              <w:left w:val="single" w:sz="8" w:space="0" w:color="auto"/>
              <w:bottom w:val="single" w:sz="4" w:space="0" w:color="auto"/>
              <w:right w:val="nil"/>
            </w:tcBorders>
            <w:shd w:val="clear" w:color="000000" w:fill="D9D9D9"/>
            <w:hideMark/>
          </w:tcPr>
          <w:p w14:paraId="2699A3BF"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11.30.00</w:t>
            </w:r>
          </w:p>
        </w:tc>
        <w:tc>
          <w:tcPr>
            <w:tcW w:w="669" w:type="dxa"/>
            <w:tcBorders>
              <w:top w:val="nil"/>
              <w:left w:val="nil"/>
              <w:bottom w:val="single" w:sz="4" w:space="0" w:color="auto"/>
              <w:right w:val="nil"/>
            </w:tcBorders>
            <w:shd w:val="clear" w:color="000000" w:fill="D9D9D9"/>
            <w:hideMark/>
          </w:tcPr>
          <w:p w14:paraId="6F2B9327" w14:textId="77777777" w:rsidR="00D819D2" w:rsidRPr="00995AAB" w:rsidRDefault="00D819D2" w:rsidP="00D819D2">
            <w:pPr>
              <w:jc w:val="center"/>
              <w:rPr>
                <w:rFonts w:ascii="Calibri" w:hAnsi="Calibri"/>
                <w:color w:val="FF0000"/>
                <w:sz w:val="16"/>
                <w:szCs w:val="16"/>
                <w:lang w:val="en-GB"/>
              </w:rPr>
            </w:pPr>
            <w:r w:rsidRPr="00995AAB">
              <w:rPr>
                <w:rFonts w:ascii="Calibri" w:hAnsi="Calibri"/>
                <w:color w:val="FF0000"/>
                <w:sz w:val="16"/>
                <w:szCs w:val="16"/>
                <w:lang w:val="en-GB"/>
              </w:rPr>
              <w:t>1</w:t>
            </w:r>
          </w:p>
        </w:tc>
        <w:tc>
          <w:tcPr>
            <w:tcW w:w="1192" w:type="dxa"/>
            <w:tcBorders>
              <w:top w:val="nil"/>
              <w:left w:val="single" w:sz="4" w:space="0" w:color="auto"/>
              <w:bottom w:val="single" w:sz="4" w:space="0" w:color="auto"/>
              <w:right w:val="single" w:sz="4" w:space="0" w:color="auto"/>
            </w:tcBorders>
            <w:shd w:val="clear" w:color="auto" w:fill="auto"/>
            <w:hideMark/>
          </w:tcPr>
          <w:p w14:paraId="75B924EB"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c>
          <w:tcPr>
            <w:tcW w:w="1191" w:type="dxa"/>
            <w:tcBorders>
              <w:top w:val="nil"/>
              <w:left w:val="nil"/>
              <w:bottom w:val="single" w:sz="4" w:space="0" w:color="auto"/>
              <w:right w:val="single" w:sz="4" w:space="0" w:color="auto"/>
            </w:tcBorders>
            <w:shd w:val="clear" w:color="auto" w:fill="auto"/>
            <w:hideMark/>
          </w:tcPr>
          <w:p w14:paraId="5ACA3EFC"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c>
          <w:tcPr>
            <w:tcW w:w="925" w:type="dxa"/>
            <w:tcBorders>
              <w:top w:val="nil"/>
              <w:left w:val="nil"/>
              <w:bottom w:val="single" w:sz="4" w:space="0" w:color="auto"/>
              <w:right w:val="single" w:sz="4" w:space="0" w:color="auto"/>
            </w:tcBorders>
            <w:shd w:val="clear" w:color="auto" w:fill="auto"/>
            <w:hideMark/>
          </w:tcPr>
          <w:p w14:paraId="1BDF2DE1"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c>
          <w:tcPr>
            <w:tcW w:w="980" w:type="dxa"/>
            <w:tcBorders>
              <w:top w:val="nil"/>
              <w:left w:val="nil"/>
              <w:bottom w:val="single" w:sz="4" w:space="0" w:color="auto"/>
              <w:right w:val="single" w:sz="4" w:space="0" w:color="auto"/>
            </w:tcBorders>
            <w:shd w:val="clear" w:color="auto" w:fill="auto"/>
            <w:noWrap/>
            <w:vAlign w:val="bottom"/>
            <w:hideMark/>
          </w:tcPr>
          <w:p w14:paraId="5BEFCC88"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c>
          <w:tcPr>
            <w:tcW w:w="1072" w:type="dxa"/>
            <w:tcBorders>
              <w:top w:val="nil"/>
              <w:left w:val="nil"/>
              <w:bottom w:val="single" w:sz="4" w:space="0" w:color="auto"/>
              <w:right w:val="single" w:sz="4" w:space="0" w:color="auto"/>
            </w:tcBorders>
            <w:shd w:val="clear" w:color="auto" w:fill="auto"/>
            <w:noWrap/>
            <w:vAlign w:val="bottom"/>
            <w:hideMark/>
          </w:tcPr>
          <w:p w14:paraId="1986554D"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c>
          <w:tcPr>
            <w:tcW w:w="980" w:type="dxa"/>
            <w:tcBorders>
              <w:top w:val="nil"/>
              <w:left w:val="nil"/>
              <w:bottom w:val="single" w:sz="4" w:space="0" w:color="auto"/>
              <w:right w:val="single" w:sz="4" w:space="0" w:color="auto"/>
            </w:tcBorders>
            <w:shd w:val="clear" w:color="auto" w:fill="auto"/>
            <w:noWrap/>
            <w:vAlign w:val="bottom"/>
            <w:hideMark/>
          </w:tcPr>
          <w:p w14:paraId="518320EC"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c>
          <w:tcPr>
            <w:tcW w:w="980" w:type="dxa"/>
            <w:tcBorders>
              <w:top w:val="nil"/>
              <w:left w:val="nil"/>
              <w:bottom w:val="single" w:sz="4" w:space="0" w:color="auto"/>
              <w:right w:val="single" w:sz="4" w:space="0" w:color="auto"/>
            </w:tcBorders>
            <w:shd w:val="clear" w:color="auto" w:fill="auto"/>
            <w:noWrap/>
            <w:vAlign w:val="bottom"/>
            <w:hideMark/>
          </w:tcPr>
          <w:p w14:paraId="2E92CF2F"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c>
          <w:tcPr>
            <w:tcW w:w="980" w:type="dxa"/>
            <w:tcBorders>
              <w:top w:val="nil"/>
              <w:left w:val="nil"/>
              <w:bottom w:val="single" w:sz="4" w:space="0" w:color="auto"/>
              <w:right w:val="single" w:sz="4" w:space="0" w:color="auto"/>
            </w:tcBorders>
            <w:shd w:val="clear" w:color="auto" w:fill="auto"/>
            <w:noWrap/>
            <w:vAlign w:val="bottom"/>
            <w:hideMark/>
          </w:tcPr>
          <w:p w14:paraId="5123028F"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c>
          <w:tcPr>
            <w:tcW w:w="980" w:type="dxa"/>
            <w:tcBorders>
              <w:top w:val="nil"/>
              <w:left w:val="nil"/>
              <w:bottom w:val="single" w:sz="4" w:space="0" w:color="auto"/>
              <w:right w:val="single" w:sz="8" w:space="0" w:color="auto"/>
            </w:tcBorders>
            <w:shd w:val="clear" w:color="auto" w:fill="auto"/>
            <w:noWrap/>
            <w:vAlign w:val="bottom"/>
            <w:hideMark/>
          </w:tcPr>
          <w:p w14:paraId="4726028A"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r>
      <w:tr w:rsidR="00D819D2" w:rsidRPr="00080375" w14:paraId="4C418E56" w14:textId="77777777" w:rsidTr="00D819D2">
        <w:trPr>
          <w:trHeight w:val="320"/>
        </w:trPr>
        <w:tc>
          <w:tcPr>
            <w:tcW w:w="911" w:type="dxa"/>
            <w:tcBorders>
              <w:top w:val="nil"/>
              <w:left w:val="single" w:sz="8" w:space="0" w:color="auto"/>
              <w:bottom w:val="single" w:sz="4" w:space="0" w:color="auto"/>
              <w:right w:val="nil"/>
            </w:tcBorders>
            <w:shd w:val="clear" w:color="000000" w:fill="D9D9D9"/>
            <w:hideMark/>
          </w:tcPr>
          <w:p w14:paraId="58743961"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c>
          <w:tcPr>
            <w:tcW w:w="669" w:type="dxa"/>
            <w:tcBorders>
              <w:top w:val="nil"/>
              <w:left w:val="nil"/>
              <w:bottom w:val="single" w:sz="4" w:space="0" w:color="auto"/>
              <w:right w:val="nil"/>
            </w:tcBorders>
            <w:shd w:val="clear" w:color="000000" w:fill="D9D9D9"/>
            <w:hideMark/>
          </w:tcPr>
          <w:p w14:paraId="7DCA3692" w14:textId="77777777" w:rsidR="00D819D2" w:rsidRPr="00995AAB" w:rsidRDefault="00D819D2" w:rsidP="00D819D2">
            <w:pPr>
              <w:jc w:val="center"/>
              <w:rPr>
                <w:rFonts w:ascii="Calibri" w:hAnsi="Calibri"/>
                <w:color w:val="FF0000"/>
                <w:sz w:val="16"/>
                <w:szCs w:val="16"/>
                <w:lang w:val="en-GB"/>
              </w:rPr>
            </w:pPr>
            <w:r w:rsidRPr="00995AAB">
              <w:rPr>
                <w:rFonts w:ascii="Calibri" w:hAnsi="Calibri"/>
                <w:color w:val="FF0000"/>
                <w:sz w:val="16"/>
                <w:szCs w:val="16"/>
                <w:lang w:val="en-GB"/>
              </w:rPr>
              <w:t>2</w:t>
            </w:r>
          </w:p>
        </w:tc>
        <w:tc>
          <w:tcPr>
            <w:tcW w:w="1192" w:type="dxa"/>
            <w:tcBorders>
              <w:top w:val="nil"/>
              <w:left w:val="single" w:sz="4" w:space="0" w:color="auto"/>
              <w:bottom w:val="single" w:sz="4" w:space="0" w:color="auto"/>
              <w:right w:val="single" w:sz="4" w:space="0" w:color="auto"/>
            </w:tcBorders>
            <w:shd w:val="clear" w:color="auto" w:fill="auto"/>
            <w:hideMark/>
          </w:tcPr>
          <w:p w14:paraId="519C744D"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c>
          <w:tcPr>
            <w:tcW w:w="1191" w:type="dxa"/>
            <w:tcBorders>
              <w:top w:val="nil"/>
              <w:left w:val="nil"/>
              <w:bottom w:val="single" w:sz="4" w:space="0" w:color="auto"/>
              <w:right w:val="single" w:sz="4" w:space="0" w:color="auto"/>
            </w:tcBorders>
            <w:shd w:val="clear" w:color="auto" w:fill="auto"/>
            <w:hideMark/>
          </w:tcPr>
          <w:p w14:paraId="7A269226"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c>
          <w:tcPr>
            <w:tcW w:w="925" w:type="dxa"/>
            <w:tcBorders>
              <w:top w:val="nil"/>
              <w:left w:val="nil"/>
              <w:bottom w:val="single" w:sz="4" w:space="0" w:color="auto"/>
              <w:right w:val="single" w:sz="4" w:space="0" w:color="auto"/>
            </w:tcBorders>
            <w:shd w:val="clear" w:color="auto" w:fill="auto"/>
            <w:hideMark/>
          </w:tcPr>
          <w:p w14:paraId="34C1B663"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c>
          <w:tcPr>
            <w:tcW w:w="980" w:type="dxa"/>
            <w:tcBorders>
              <w:top w:val="nil"/>
              <w:left w:val="nil"/>
              <w:bottom w:val="single" w:sz="4" w:space="0" w:color="auto"/>
              <w:right w:val="single" w:sz="4" w:space="0" w:color="auto"/>
            </w:tcBorders>
            <w:shd w:val="clear" w:color="auto" w:fill="auto"/>
            <w:noWrap/>
            <w:vAlign w:val="bottom"/>
            <w:hideMark/>
          </w:tcPr>
          <w:p w14:paraId="067ED41A"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c>
          <w:tcPr>
            <w:tcW w:w="1072" w:type="dxa"/>
            <w:tcBorders>
              <w:top w:val="nil"/>
              <w:left w:val="nil"/>
              <w:bottom w:val="single" w:sz="4" w:space="0" w:color="auto"/>
              <w:right w:val="single" w:sz="4" w:space="0" w:color="auto"/>
            </w:tcBorders>
            <w:shd w:val="clear" w:color="auto" w:fill="auto"/>
            <w:noWrap/>
            <w:vAlign w:val="bottom"/>
            <w:hideMark/>
          </w:tcPr>
          <w:p w14:paraId="4A9B9EA5"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c>
          <w:tcPr>
            <w:tcW w:w="980" w:type="dxa"/>
            <w:tcBorders>
              <w:top w:val="nil"/>
              <w:left w:val="nil"/>
              <w:bottom w:val="single" w:sz="4" w:space="0" w:color="auto"/>
              <w:right w:val="single" w:sz="4" w:space="0" w:color="auto"/>
            </w:tcBorders>
            <w:shd w:val="clear" w:color="auto" w:fill="auto"/>
            <w:noWrap/>
            <w:vAlign w:val="bottom"/>
            <w:hideMark/>
          </w:tcPr>
          <w:p w14:paraId="4F21F86E"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c>
          <w:tcPr>
            <w:tcW w:w="980" w:type="dxa"/>
            <w:tcBorders>
              <w:top w:val="nil"/>
              <w:left w:val="nil"/>
              <w:bottom w:val="single" w:sz="4" w:space="0" w:color="auto"/>
              <w:right w:val="single" w:sz="4" w:space="0" w:color="auto"/>
            </w:tcBorders>
            <w:shd w:val="clear" w:color="auto" w:fill="auto"/>
            <w:noWrap/>
            <w:vAlign w:val="bottom"/>
            <w:hideMark/>
          </w:tcPr>
          <w:p w14:paraId="654481A7"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c>
          <w:tcPr>
            <w:tcW w:w="980" w:type="dxa"/>
            <w:tcBorders>
              <w:top w:val="nil"/>
              <w:left w:val="nil"/>
              <w:bottom w:val="single" w:sz="4" w:space="0" w:color="auto"/>
              <w:right w:val="single" w:sz="4" w:space="0" w:color="auto"/>
            </w:tcBorders>
            <w:shd w:val="clear" w:color="auto" w:fill="auto"/>
            <w:noWrap/>
            <w:vAlign w:val="bottom"/>
            <w:hideMark/>
          </w:tcPr>
          <w:p w14:paraId="102EE0E0"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c>
          <w:tcPr>
            <w:tcW w:w="980" w:type="dxa"/>
            <w:tcBorders>
              <w:top w:val="nil"/>
              <w:left w:val="nil"/>
              <w:bottom w:val="single" w:sz="4" w:space="0" w:color="auto"/>
              <w:right w:val="single" w:sz="8" w:space="0" w:color="auto"/>
            </w:tcBorders>
            <w:shd w:val="clear" w:color="auto" w:fill="auto"/>
            <w:noWrap/>
            <w:vAlign w:val="bottom"/>
            <w:hideMark/>
          </w:tcPr>
          <w:p w14:paraId="7175B8DB"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r>
      <w:tr w:rsidR="00D819D2" w:rsidRPr="00080375" w14:paraId="77ECAA4F" w14:textId="77777777" w:rsidTr="00D819D2">
        <w:trPr>
          <w:trHeight w:val="320"/>
        </w:trPr>
        <w:tc>
          <w:tcPr>
            <w:tcW w:w="911" w:type="dxa"/>
            <w:tcBorders>
              <w:top w:val="nil"/>
              <w:left w:val="single" w:sz="8" w:space="0" w:color="auto"/>
              <w:bottom w:val="single" w:sz="4" w:space="0" w:color="auto"/>
              <w:right w:val="nil"/>
            </w:tcBorders>
            <w:shd w:val="clear" w:color="000000" w:fill="D9D9D9"/>
            <w:hideMark/>
          </w:tcPr>
          <w:p w14:paraId="09FE5EEC"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c>
          <w:tcPr>
            <w:tcW w:w="669" w:type="dxa"/>
            <w:tcBorders>
              <w:top w:val="nil"/>
              <w:left w:val="nil"/>
              <w:bottom w:val="single" w:sz="4" w:space="0" w:color="auto"/>
              <w:right w:val="nil"/>
            </w:tcBorders>
            <w:shd w:val="clear" w:color="000000" w:fill="D9D9D9"/>
            <w:hideMark/>
          </w:tcPr>
          <w:p w14:paraId="7E8C49DD" w14:textId="77777777" w:rsidR="00D819D2" w:rsidRPr="00995AAB" w:rsidRDefault="00D819D2" w:rsidP="00D819D2">
            <w:pPr>
              <w:jc w:val="center"/>
              <w:rPr>
                <w:rFonts w:ascii="Calibri" w:hAnsi="Calibri"/>
                <w:color w:val="FF0000"/>
                <w:sz w:val="16"/>
                <w:szCs w:val="16"/>
                <w:lang w:val="en-GB"/>
              </w:rPr>
            </w:pPr>
            <w:r w:rsidRPr="00995AAB">
              <w:rPr>
                <w:rFonts w:ascii="Calibri" w:hAnsi="Calibri"/>
                <w:color w:val="FF0000"/>
                <w:sz w:val="16"/>
                <w:szCs w:val="16"/>
                <w:lang w:val="en-GB"/>
              </w:rPr>
              <w:t>3</w:t>
            </w:r>
          </w:p>
        </w:tc>
        <w:tc>
          <w:tcPr>
            <w:tcW w:w="1192" w:type="dxa"/>
            <w:tcBorders>
              <w:top w:val="nil"/>
              <w:left w:val="single" w:sz="4" w:space="0" w:color="auto"/>
              <w:bottom w:val="single" w:sz="4" w:space="0" w:color="auto"/>
              <w:right w:val="single" w:sz="4" w:space="0" w:color="auto"/>
            </w:tcBorders>
            <w:shd w:val="clear" w:color="auto" w:fill="auto"/>
            <w:hideMark/>
          </w:tcPr>
          <w:p w14:paraId="66FAA416"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c>
          <w:tcPr>
            <w:tcW w:w="1191" w:type="dxa"/>
            <w:tcBorders>
              <w:top w:val="nil"/>
              <w:left w:val="nil"/>
              <w:bottom w:val="single" w:sz="4" w:space="0" w:color="auto"/>
              <w:right w:val="single" w:sz="4" w:space="0" w:color="auto"/>
            </w:tcBorders>
            <w:shd w:val="clear" w:color="auto" w:fill="auto"/>
            <w:hideMark/>
          </w:tcPr>
          <w:p w14:paraId="3875C320"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c>
          <w:tcPr>
            <w:tcW w:w="925" w:type="dxa"/>
            <w:tcBorders>
              <w:top w:val="nil"/>
              <w:left w:val="nil"/>
              <w:bottom w:val="single" w:sz="4" w:space="0" w:color="auto"/>
              <w:right w:val="single" w:sz="4" w:space="0" w:color="auto"/>
            </w:tcBorders>
            <w:shd w:val="clear" w:color="auto" w:fill="auto"/>
            <w:hideMark/>
          </w:tcPr>
          <w:p w14:paraId="18CB6204"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c>
          <w:tcPr>
            <w:tcW w:w="980" w:type="dxa"/>
            <w:tcBorders>
              <w:top w:val="nil"/>
              <w:left w:val="nil"/>
              <w:bottom w:val="single" w:sz="4" w:space="0" w:color="auto"/>
              <w:right w:val="single" w:sz="4" w:space="0" w:color="auto"/>
            </w:tcBorders>
            <w:shd w:val="clear" w:color="auto" w:fill="auto"/>
            <w:noWrap/>
            <w:vAlign w:val="bottom"/>
            <w:hideMark/>
          </w:tcPr>
          <w:p w14:paraId="4D7C008E"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c>
          <w:tcPr>
            <w:tcW w:w="1072" w:type="dxa"/>
            <w:tcBorders>
              <w:top w:val="nil"/>
              <w:left w:val="nil"/>
              <w:bottom w:val="single" w:sz="4" w:space="0" w:color="auto"/>
              <w:right w:val="single" w:sz="4" w:space="0" w:color="auto"/>
            </w:tcBorders>
            <w:shd w:val="clear" w:color="auto" w:fill="auto"/>
            <w:noWrap/>
            <w:vAlign w:val="bottom"/>
            <w:hideMark/>
          </w:tcPr>
          <w:p w14:paraId="292E1DE8"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c>
          <w:tcPr>
            <w:tcW w:w="980" w:type="dxa"/>
            <w:tcBorders>
              <w:top w:val="nil"/>
              <w:left w:val="nil"/>
              <w:bottom w:val="single" w:sz="4" w:space="0" w:color="auto"/>
              <w:right w:val="single" w:sz="4" w:space="0" w:color="auto"/>
            </w:tcBorders>
            <w:shd w:val="clear" w:color="auto" w:fill="auto"/>
            <w:noWrap/>
            <w:vAlign w:val="bottom"/>
            <w:hideMark/>
          </w:tcPr>
          <w:p w14:paraId="693E0A58"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c>
          <w:tcPr>
            <w:tcW w:w="980" w:type="dxa"/>
            <w:tcBorders>
              <w:top w:val="nil"/>
              <w:left w:val="nil"/>
              <w:bottom w:val="single" w:sz="4" w:space="0" w:color="auto"/>
              <w:right w:val="single" w:sz="4" w:space="0" w:color="auto"/>
            </w:tcBorders>
            <w:shd w:val="clear" w:color="auto" w:fill="auto"/>
            <w:noWrap/>
            <w:vAlign w:val="bottom"/>
            <w:hideMark/>
          </w:tcPr>
          <w:p w14:paraId="0C1FD399"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c>
          <w:tcPr>
            <w:tcW w:w="980" w:type="dxa"/>
            <w:tcBorders>
              <w:top w:val="nil"/>
              <w:left w:val="nil"/>
              <w:bottom w:val="single" w:sz="4" w:space="0" w:color="auto"/>
              <w:right w:val="single" w:sz="4" w:space="0" w:color="auto"/>
            </w:tcBorders>
            <w:shd w:val="clear" w:color="auto" w:fill="auto"/>
            <w:noWrap/>
            <w:vAlign w:val="bottom"/>
            <w:hideMark/>
          </w:tcPr>
          <w:p w14:paraId="3C055133"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c>
          <w:tcPr>
            <w:tcW w:w="980" w:type="dxa"/>
            <w:tcBorders>
              <w:top w:val="nil"/>
              <w:left w:val="nil"/>
              <w:bottom w:val="single" w:sz="4" w:space="0" w:color="auto"/>
              <w:right w:val="single" w:sz="8" w:space="0" w:color="auto"/>
            </w:tcBorders>
            <w:shd w:val="clear" w:color="auto" w:fill="auto"/>
            <w:noWrap/>
            <w:vAlign w:val="bottom"/>
            <w:hideMark/>
          </w:tcPr>
          <w:p w14:paraId="3308E958"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r>
      <w:tr w:rsidR="00D819D2" w:rsidRPr="00080375" w14:paraId="1350F8D1" w14:textId="77777777" w:rsidTr="00D819D2">
        <w:trPr>
          <w:trHeight w:val="320"/>
        </w:trPr>
        <w:tc>
          <w:tcPr>
            <w:tcW w:w="911" w:type="dxa"/>
            <w:tcBorders>
              <w:top w:val="nil"/>
              <w:left w:val="single" w:sz="8" w:space="0" w:color="auto"/>
              <w:bottom w:val="single" w:sz="4" w:space="0" w:color="auto"/>
              <w:right w:val="nil"/>
            </w:tcBorders>
            <w:shd w:val="clear" w:color="000000" w:fill="D9D9D9"/>
            <w:hideMark/>
          </w:tcPr>
          <w:p w14:paraId="4D4E94A1"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13.30.00</w:t>
            </w:r>
          </w:p>
        </w:tc>
        <w:tc>
          <w:tcPr>
            <w:tcW w:w="669" w:type="dxa"/>
            <w:tcBorders>
              <w:top w:val="nil"/>
              <w:left w:val="nil"/>
              <w:bottom w:val="single" w:sz="4" w:space="0" w:color="auto"/>
              <w:right w:val="nil"/>
            </w:tcBorders>
            <w:shd w:val="clear" w:color="000000" w:fill="D9D9D9"/>
            <w:hideMark/>
          </w:tcPr>
          <w:p w14:paraId="5AA8CF1C" w14:textId="77777777" w:rsidR="00D819D2" w:rsidRPr="00995AAB" w:rsidRDefault="00D819D2" w:rsidP="00D819D2">
            <w:pPr>
              <w:jc w:val="center"/>
              <w:rPr>
                <w:rFonts w:ascii="Calibri" w:hAnsi="Calibri"/>
                <w:color w:val="FF0000"/>
                <w:sz w:val="16"/>
                <w:szCs w:val="16"/>
                <w:lang w:val="en-GB"/>
              </w:rPr>
            </w:pPr>
            <w:r w:rsidRPr="00995AAB">
              <w:rPr>
                <w:rFonts w:ascii="Calibri" w:hAnsi="Calibri"/>
                <w:color w:val="FF0000"/>
                <w:sz w:val="16"/>
                <w:szCs w:val="16"/>
                <w:lang w:val="en-GB"/>
              </w:rPr>
              <w:t>1</w:t>
            </w:r>
          </w:p>
        </w:tc>
        <w:tc>
          <w:tcPr>
            <w:tcW w:w="1192" w:type="dxa"/>
            <w:tcBorders>
              <w:top w:val="nil"/>
              <w:left w:val="single" w:sz="4" w:space="0" w:color="auto"/>
              <w:bottom w:val="single" w:sz="4" w:space="0" w:color="auto"/>
              <w:right w:val="single" w:sz="4" w:space="0" w:color="auto"/>
            </w:tcBorders>
            <w:shd w:val="clear" w:color="auto" w:fill="auto"/>
            <w:hideMark/>
          </w:tcPr>
          <w:p w14:paraId="191E5139"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c>
          <w:tcPr>
            <w:tcW w:w="1191" w:type="dxa"/>
            <w:tcBorders>
              <w:top w:val="nil"/>
              <w:left w:val="nil"/>
              <w:bottom w:val="single" w:sz="4" w:space="0" w:color="auto"/>
              <w:right w:val="single" w:sz="4" w:space="0" w:color="auto"/>
            </w:tcBorders>
            <w:shd w:val="clear" w:color="auto" w:fill="auto"/>
            <w:hideMark/>
          </w:tcPr>
          <w:p w14:paraId="3B1EA856"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c>
          <w:tcPr>
            <w:tcW w:w="925" w:type="dxa"/>
            <w:tcBorders>
              <w:top w:val="nil"/>
              <w:left w:val="nil"/>
              <w:bottom w:val="single" w:sz="4" w:space="0" w:color="auto"/>
              <w:right w:val="single" w:sz="4" w:space="0" w:color="auto"/>
            </w:tcBorders>
            <w:shd w:val="clear" w:color="auto" w:fill="auto"/>
            <w:hideMark/>
          </w:tcPr>
          <w:p w14:paraId="222CC0AA"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c>
          <w:tcPr>
            <w:tcW w:w="980" w:type="dxa"/>
            <w:tcBorders>
              <w:top w:val="nil"/>
              <w:left w:val="nil"/>
              <w:bottom w:val="single" w:sz="4" w:space="0" w:color="auto"/>
              <w:right w:val="single" w:sz="4" w:space="0" w:color="auto"/>
            </w:tcBorders>
            <w:shd w:val="clear" w:color="auto" w:fill="auto"/>
            <w:noWrap/>
            <w:vAlign w:val="bottom"/>
            <w:hideMark/>
          </w:tcPr>
          <w:p w14:paraId="29E7EFEF"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c>
          <w:tcPr>
            <w:tcW w:w="1072" w:type="dxa"/>
            <w:tcBorders>
              <w:top w:val="nil"/>
              <w:left w:val="nil"/>
              <w:bottom w:val="single" w:sz="4" w:space="0" w:color="auto"/>
              <w:right w:val="single" w:sz="4" w:space="0" w:color="auto"/>
            </w:tcBorders>
            <w:shd w:val="clear" w:color="auto" w:fill="auto"/>
            <w:noWrap/>
            <w:vAlign w:val="bottom"/>
            <w:hideMark/>
          </w:tcPr>
          <w:p w14:paraId="41EC63D0"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c>
          <w:tcPr>
            <w:tcW w:w="980" w:type="dxa"/>
            <w:tcBorders>
              <w:top w:val="nil"/>
              <w:left w:val="nil"/>
              <w:bottom w:val="single" w:sz="4" w:space="0" w:color="auto"/>
              <w:right w:val="single" w:sz="4" w:space="0" w:color="auto"/>
            </w:tcBorders>
            <w:shd w:val="clear" w:color="auto" w:fill="auto"/>
            <w:noWrap/>
            <w:vAlign w:val="bottom"/>
            <w:hideMark/>
          </w:tcPr>
          <w:p w14:paraId="24BE010D"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c>
          <w:tcPr>
            <w:tcW w:w="980" w:type="dxa"/>
            <w:tcBorders>
              <w:top w:val="nil"/>
              <w:left w:val="nil"/>
              <w:bottom w:val="single" w:sz="4" w:space="0" w:color="auto"/>
              <w:right w:val="single" w:sz="4" w:space="0" w:color="auto"/>
            </w:tcBorders>
            <w:shd w:val="clear" w:color="auto" w:fill="auto"/>
            <w:noWrap/>
            <w:vAlign w:val="bottom"/>
            <w:hideMark/>
          </w:tcPr>
          <w:p w14:paraId="283B0513"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c>
          <w:tcPr>
            <w:tcW w:w="980" w:type="dxa"/>
            <w:tcBorders>
              <w:top w:val="nil"/>
              <w:left w:val="nil"/>
              <w:bottom w:val="single" w:sz="4" w:space="0" w:color="auto"/>
              <w:right w:val="single" w:sz="4" w:space="0" w:color="auto"/>
            </w:tcBorders>
            <w:shd w:val="clear" w:color="auto" w:fill="auto"/>
            <w:noWrap/>
            <w:vAlign w:val="bottom"/>
            <w:hideMark/>
          </w:tcPr>
          <w:p w14:paraId="7B3E69F6"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c>
          <w:tcPr>
            <w:tcW w:w="980" w:type="dxa"/>
            <w:tcBorders>
              <w:top w:val="nil"/>
              <w:left w:val="nil"/>
              <w:bottom w:val="single" w:sz="4" w:space="0" w:color="auto"/>
              <w:right w:val="single" w:sz="8" w:space="0" w:color="auto"/>
            </w:tcBorders>
            <w:shd w:val="clear" w:color="auto" w:fill="auto"/>
            <w:noWrap/>
            <w:vAlign w:val="bottom"/>
            <w:hideMark/>
          </w:tcPr>
          <w:p w14:paraId="24740E2F"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r>
      <w:tr w:rsidR="00D819D2" w:rsidRPr="00080375" w14:paraId="59EAA6A6" w14:textId="77777777" w:rsidTr="00D819D2">
        <w:trPr>
          <w:trHeight w:val="320"/>
        </w:trPr>
        <w:tc>
          <w:tcPr>
            <w:tcW w:w="911" w:type="dxa"/>
            <w:tcBorders>
              <w:top w:val="nil"/>
              <w:left w:val="single" w:sz="8" w:space="0" w:color="auto"/>
              <w:bottom w:val="single" w:sz="4" w:space="0" w:color="auto"/>
              <w:right w:val="nil"/>
            </w:tcBorders>
            <w:shd w:val="clear" w:color="000000" w:fill="D9D9D9"/>
            <w:hideMark/>
          </w:tcPr>
          <w:p w14:paraId="2466384E"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c>
          <w:tcPr>
            <w:tcW w:w="669" w:type="dxa"/>
            <w:tcBorders>
              <w:top w:val="nil"/>
              <w:left w:val="nil"/>
              <w:bottom w:val="single" w:sz="4" w:space="0" w:color="auto"/>
              <w:right w:val="nil"/>
            </w:tcBorders>
            <w:shd w:val="clear" w:color="000000" w:fill="D9D9D9"/>
            <w:hideMark/>
          </w:tcPr>
          <w:p w14:paraId="008ABBAB" w14:textId="77777777" w:rsidR="00D819D2" w:rsidRPr="00995AAB" w:rsidRDefault="00D819D2" w:rsidP="00D819D2">
            <w:pPr>
              <w:jc w:val="center"/>
              <w:rPr>
                <w:rFonts w:ascii="Calibri" w:hAnsi="Calibri"/>
                <w:color w:val="FF0000"/>
                <w:sz w:val="16"/>
                <w:szCs w:val="16"/>
                <w:lang w:val="en-GB"/>
              </w:rPr>
            </w:pPr>
            <w:r w:rsidRPr="00995AAB">
              <w:rPr>
                <w:rFonts w:ascii="Calibri" w:hAnsi="Calibri"/>
                <w:color w:val="FF0000"/>
                <w:sz w:val="16"/>
                <w:szCs w:val="16"/>
                <w:lang w:val="en-GB"/>
              </w:rPr>
              <w:t>2</w:t>
            </w:r>
          </w:p>
        </w:tc>
        <w:tc>
          <w:tcPr>
            <w:tcW w:w="1192" w:type="dxa"/>
            <w:tcBorders>
              <w:top w:val="nil"/>
              <w:left w:val="single" w:sz="4" w:space="0" w:color="auto"/>
              <w:bottom w:val="single" w:sz="4" w:space="0" w:color="auto"/>
              <w:right w:val="single" w:sz="4" w:space="0" w:color="auto"/>
            </w:tcBorders>
            <w:shd w:val="clear" w:color="auto" w:fill="auto"/>
            <w:hideMark/>
          </w:tcPr>
          <w:p w14:paraId="654E2C7E"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c>
          <w:tcPr>
            <w:tcW w:w="1191" w:type="dxa"/>
            <w:tcBorders>
              <w:top w:val="nil"/>
              <w:left w:val="nil"/>
              <w:bottom w:val="single" w:sz="4" w:space="0" w:color="auto"/>
              <w:right w:val="single" w:sz="4" w:space="0" w:color="auto"/>
            </w:tcBorders>
            <w:shd w:val="clear" w:color="auto" w:fill="auto"/>
            <w:hideMark/>
          </w:tcPr>
          <w:p w14:paraId="030DBF69"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c>
          <w:tcPr>
            <w:tcW w:w="925" w:type="dxa"/>
            <w:tcBorders>
              <w:top w:val="nil"/>
              <w:left w:val="nil"/>
              <w:bottom w:val="single" w:sz="4" w:space="0" w:color="auto"/>
              <w:right w:val="single" w:sz="4" w:space="0" w:color="auto"/>
            </w:tcBorders>
            <w:shd w:val="clear" w:color="auto" w:fill="auto"/>
            <w:hideMark/>
          </w:tcPr>
          <w:p w14:paraId="4174D1B9"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c>
          <w:tcPr>
            <w:tcW w:w="980" w:type="dxa"/>
            <w:tcBorders>
              <w:top w:val="nil"/>
              <w:left w:val="nil"/>
              <w:bottom w:val="single" w:sz="4" w:space="0" w:color="auto"/>
              <w:right w:val="single" w:sz="4" w:space="0" w:color="auto"/>
            </w:tcBorders>
            <w:shd w:val="clear" w:color="auto" w:fill="auto"/>
            <w:noWrap/>
            <w:vAlign w:val="bottom"/>
            <w:hideMark/>
          </w:tcPr>
          <w:p w14:paraId="399E70FD"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c>
          <w:tcPr>
            <w:tcW w:w="1072" w:type="dxa"/>
            <w:tcBorders>
              <w:top w:val="nil"/>
              <w:left w:val="nil"/>
              <w:bottom w:val="single" w:sz="4" w:space="0" w:color="auto"/>
              <w:right w:val="single" w:sz="4" w:space="0" w:color="auto"/>
            </w:tcBorders>
            <w:shd w:val="clear" w:color="auto" w:fill="auto"/>
            <w:noWrap/>
            <w:vAlign w:val="bottom"/>
            <w:hideMark/>
          </w:tcPr>
          <w:p w14:paraId="0E616F08"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c>
          <w:tcPr>
            <w:tcW w:w="980" w:type="dxa"/>
            <w:tcBorders>
              <w:top w:val="nil"/>
              <w:left w:val="nil"/>
              <w:bottom w:val="single" w:sz="4" w:space="0" w:color="auto"/>
              <w:right w:val="single" w:sz="4" w:space="0" w:color="auto"/>
            </w:tcBorders>
            <w:shd w:val="clear" w:color="auto" w:fill="auto"/>
            <w:noWrap/>
            <w:vAlign w:val="bottom"/>
            <w:hideMark/>
          </w:tcPr>
          <w:p w14:paraId="4AED4692"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c>
          <w:tcPr>
            <w:tcW w:w="980" w:type="dxa"/>
            <w:tcBorders>
              <w:top w:val="nil"/>
              <w:left w:val="nil"/>
              <w:bottom w:val="single" w:sz="4" w:space="0" w:color="auto"/>
              <w:right w:val="single" w:sz="4" w:space="0" w:color="auto"/>
            </w:tcBorders>
            <w:shd w:val="clear" w:color="auto" w:fill="auto"/>
            <w:noWrap/>
            <w:vAlign w:val="bottom"/>
            <w:hideMark/>
          </w:tcPr>
          <w:p w14:paraId="0BB91F84"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c>
          <w:tcPr>
            <w:tcW w:w="980" w:type="dxa"/>
            <w:tcBorders>
              <w:top w:val="nil"/>
              <w:left w:val="nil"/>
              <w:bottom w:val="single" w:sz="4" w:space="0" w:color="auto"/>
              <w:right w:val="single" w:sz="4" w:space="0" w:color="auto"/>
            </w:tcBorders>
            <w:shd w:val="clear" w:color="auto" w:fill="auto"/>
            <w:noWrap/>
            <w:vAlign w:val="bottom"/>
            <w:hideMark/>
          </w:tcPr>
          <w:p w14:paraId="57FAC193"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c>
          <w:tcPr>
            <w:tcW w:w="980" w:type="dxa"/>
            <w:tcBorders>
              <w:top w:val="nil"/>
              <w:left w:val="nil"/>
              <w:bottom w:val="single" w:sz="4" w:space="0" w:color="auto"/>
              <w:right w:val="single" w:sz="8" w:space="0" w:color="auto"/>
            </w:tcBorders>
            <w:shd w:val="clear" w:color="auto" w:fill="auto"/>
            <w:noWrap/>
            <w:vAlign w:val="bottom"/>
            <w:hideMark/>
          </w:tcPr>
          <w:p w14:paraId="49E10E33"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r>
      <w:tr w:rsidR="00D819D2" w:rsidRPr="00080375" w14:paraId="3610A826" w14:textId="77777777" w:rsidTr="00D819D2">
        <w:trPr>
          <w:trHeight w:val="320"/>
        </w:trPr>
        <w:tc>
          <w:tcPr>
            <w:tcW w:w="911" w:type="dxa"/>
            <w:tcBorders>
              <w:top w:val="nil"/>
              <w:left w:val="single" w:sz="8" w:space="0" w:color="auto"/>
              <w:bottom w:val="single" w:sz="4" w:space="0" w:color="auto"/>
              <w:right w:val="nil"/>
            </w:tcBorders>
            <w:shd w:val="clear" w:color="000000" w:fill="D9D9D9"/>
            <w:hideMark/>
          </w:tcPr>
          <w:p w14:paraId="1A080C44"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c>
          <w:tcPr>
            <w:tcW w:w="669" w:type="dxa"/>
            <w:tcBorders>
              <w:top w:val="nil"/>
              <w:left w:val="nil"/>
              <w:bottom w:val="single" w:sz="4" w:space="0" w:color="auto"/>
              <w:right w:val="nil"/>
            </w:tcBorders>
            <w:shd w:val="clear" w:color="000000" w:fill="D9D9D9"/>
            <w:hideMark/>
          </w:tcPr>
          <w:p w14:paraId="41CB5E00" w14:textId="77777777" w:rsidR="00D819D2" w:rsidRPr="00995AAB" w:rsidRDefault="00D819D2" w:rsidP="00D819D2">
            <w:pPr>
              <w:jc w:val="center"/>
              <w:rPr>
                <w:rFonts w:ascii="Calibri" w:hAnsi="Calibri"/>
                <w:color w:val="FF0000"/>
                <w:sz w:val="16"/>
                <w:szCs w:val="16"/>
                <w:lang w:val="en-GB"/>
              </w:rPr>
            </w:pPr>
            <w:r w:rsidRPr="00995AAB">
              <w:rPr>
                <w:rFonts w:ascii="Calibri" w:hAnsi="Calibri"/>
                <w:color w:val="FF0000"/>
                <w:sz w:val="16"/>
                <w:szCs w:val="16"/>
                <w:lang w:val="en-GB"/>
              </w:rPr>
              <w:t>3</w:t>
            </w:r>
          </w:p>
        </w:tc>
        <w:tc>
          <w:tcPr>
            <w:tcW w:w="1192" w:type="dxa"/>
            <w:tcBorders>
              <w:top w:val="nil"/>
              <w:left w:val="single" w:sz="4" w:space="0" w:color="auto"/>
              <w:bottom w:val="single" w:sz="4" w:space="0" w:color="auto"/>
              <w:right w:val="single" w:sz="4" w:space="0" w:color="auto"/>
            </w:tcBorders>
            <w:shd w:val="clear" w:color="auto" w:fill="auto"/>
            <w:hideMark/>
          </w:tcPr>
          <w:p w14:paraId="31E202EA"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c>
          <w:tcPr>
            <w:tcW w:w="1191" w:type="dxa"/>
            <w:tcBorders>
              <w:top w:val="nil"/>
              <w:left w:val="nil"/>
              <w:bottom w:val="single" w:sz="4" w:space="0" w:color="auto"/>
              <w:right w:val="single" w:sz="4" w:space="0" w:color="auto"/>
            </w:tcBorders>
            <w:shd w:val="clear" w:color="auto" w:fill="auto"/>
            <w:hideMark/>
          </w:tcPr>
          <w:p w14:paraId="4696877A"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c>
          <w:tcPr>
            <w:tcW w:w="925" w:type="dxa"/>
            <w:tcBorders>
              <w:top w:val="nil"/>
              <w:left w:val="nil"/>
              <w:bottom w:val="single" w:sz="4" w:space="0" w:color="auto"/>
              <w:right w:val="single" w:sz="4" w:space="0" w:color="auto"/>
            </w:tcBorders>
            <w:shd w:val="clear" w:color="auto" w:fill="auto"/>
            <w:hideMark/>
          </w:tcPr>
          <w:p w14:paraId="17D81D34"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c>
          <w:tcPr>
            <w:tcW w:w="980" w:type="dxa"/>
            <w:tcBorders>
              <w:top w:val="nil"/>
              <w:left w:val="nil"/>
              <w:bottom w:val="single" w:sz="4" w:space="0" w:color="auto"/>
              <w:right w:val="single" w:sz="4" w:space="0" w:color="auto"/>
            </w:tcBorders>
            <w:shd w:val="clear" w:color="auto" w:fill="auto"/>
            <w:noWrap/>
            <w:vAlign w:val="bottom"/>
            <w:hideMark/>
          </w:tcPr>
          <w:p w14:paraId="58E50B1D"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c>
          <w:tcPr>
            <w:tcW w:w="1072" w:type="dxa"/>
            <w:tcBorders>
              <w:top w:val="nil"/>
              <w:left w:val="nil"/>
              <w:bottom w:val="single" w:sz="4" w:space="0" w:color="auto"/>
              <w:right w:val="single" w:sz="4" w:space="0" w:color="auto"/>
            </w:tcBorders>
            <w:shd w:val="clear" w:color="auto" w:fill="auto"/>
            <w:noWrap/>
            <w:vAlign w:val="bottom"/>
            <w:hideMark/>
          </w:tcPr>
          <w:p w14:paraId="65E82C5A"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c>
          <w:tcPr>
            <w:tcW w:w="980" w:type="dxa"/>
            <w:tcBorders>
              <w:top w:val="nil"/>
              <w:left w:val="nil"/>
              <w:bottom w:val="single" w:sz="4" w:space="0" w:color="auto"/>
              <w:right w:val="single" w:sz="4" w:space="0" w:color="auto"/>
            </w:tcBorders>
            <w:shd w:val="clear" w:color="auto" w:fill="auto"/>
            <w:noWrap/>
            <w:vAlign w:val="bottom"/>
            <w:hideMark/>
          </w:tcPr>
          <w:p w14:paraId="16FA6A37"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c>
          <w:tcPr>
            <w:tcW w:w="980" w:type="dxa"/>
            <w:tcBorders>
              <w:top w:val="nil"/>
              <w:left w:val="nil"/>
              <w:bottom w:val="single" w:sz="4" w:space="0" w:color="auto"/>
              <w:right w:val="single" w:sz="4" w:space="0" w:color="auto"/>
            </w:tcBorders>
            <w:shd w:val="clear" w:color="auto" w:fill="auto"/>
            <w:noWrap/>
            <w:vAlign w:val="bottom"/>
            <w:hideMark/>
          </w:tcPr>
          <w:p w14:paraId="1FC97A94"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c>
          <w:tcPr>
            <w:tcW w:w="980" w:type="dxa"/>
            <w:tcBorders>
              <w:top w:val="nil"/>
              <w:left w:val="nil"/>
              <w:bottom w:val="single" w:sz="4" w:space="0" w:color="auto"/>
              <w:right w:val="single" w:sz="4" w:space="0" w:color="auto"/>
            </w:tcBorders>
            <w:shd w:val="clear" w:color="auto" w:fill="auto"/>
            <w:noWrap/>
            <w:vAlign w:val="bottom"/>
            <w:hideMark/>
          </w:tcPr>
          <w:p w14:paraId="0F7034E5"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c>
          <w:tcPr>
            <w:tcW w:w="980" w:type="dxa"/>
            <w:tcBorders>
              <w:top w:val="nil"/>
              <w:left w:val="nil"/>
              <w:bottom w:val="single" w:sz="4" w:space="0" w:color="auto"/>
              <w:right w:val="single" w:sz="8" w:space="0" w:color="auto"/>
            </w:tcBorders>
            <w:shd w:val="clear" w:color="auto" w:fill="auto"/>
            <w:noWrap/>
            <w:vAlign w:val="bottom"/>
            <w:hideMark/>
          </w:tcPr>
          <w:p w14:paraId="5EA9E059"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r>
      <w:tr w:rsidR="00D819D2" w:rsidRPr="00080375" w14:paraId="52670E3B" w14:textId="77777777" w:rsidTr="00D819D2">
        <w:trPr>
          <w:trHeight w:val="320"/>
        </w:trPr>
        <w:tc>
          <w:tcPr>
            <w:tcW w:w="911" w:type="dxa"/>
            <w:tcBorders>
              <w:top w:val="nil"/>
              <w:left w:val="single" w:sz="8" w:space="0" w:color="auto"/>
              <w:bottom w:val="single" w:sz="4" w:space="0" w:color="auto"/>
              <w:right w:val="nil"/>
            </w:tcBorders>
            <w:shd w:val="clear" w:color="000000" w:fill="D9D9D9"/>
            <w:hideMark/>
          </w:tcPr>
          <w:p w14:paraId="380F9046"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15.30.00</w:t>
            </w:r>
          </w:p>
        </w:tc>
        <w:tc>
          <w:tcPr>
            <w:tcW w:w="669" w:type="dxa"/>
            <w:tcBorders>
              <w:top w:val="nil"/>
              <w:left w:val="nil"/>
              <w:bottom w:val="single" w:sz="4" w:space="0" w:color="auto"/>
              <w:right w:val="nil"/>
            </w:tcBorders>
            <w:shd w:val="clear" w:color="000000" w:fill="D9D9D9"/>
            <w:hideMark/>
          </w:tcPr>
          <w:p w14:paraId="481E986F" w14:textId="77777777" w:rsidR="00D819D2" w:rsidRPr="00995AAB" w:rsidRDefault="00D819D2" w:rsidP="00D819D2">
            <w:pPr>
              <w:jc w:val="center"/>
              <w:rPr>
                <w:rFonts w:ascii="Calibri" w:hAnsi="Calibri"/>
                <w:color w:val="FF0000"/>
                <w:sz w:val="16"/>
                <w:szCs w:val="16"/>
                <w:lang w:val="en-GB"/>
              </w:rPr>
            </w:pPr>
            <w:r w:rsidRPr="00995AAB">
              <w:rPr>
                <w:rFonts w:ascii="Calibri" w:hAnsi="Calibri"/>
                <w:color w:val="FF0000"/>
                <w:sz w:val="16"/>
                <w:szCs w:val="16"/>
                <w:lang w:val="en-GB"/>
              </w:rPr>
              <w:t>1</w:t>
            </w:r>
          </w:p>
        </w:tc>
        <w:tc>
          <w:tcPr>
            <w:tcW w:w="1192" w:type="dxa"/>
            <w:tcBorders>
              <w:top w:val="nil"/>
              <w:left w:val="single" w:sz="4" w:space="0" w:color="auto"/>
              <w:bottom w:val="single" w:sz="4" w:space="0" w:color="auto"/>
              <w:right w:val="single" w:sz="4" w:space="0" w:color="auto"/>
            </w:tcBorders>
            <w:shd w:val="clear" w:color="auto" w:fill="auto"/>
            <w:hideMark/>
          </w:tcPr>
          <w:p w14:paraId="58CAAD58"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c>
          <w:tcPr>
            <w:tcW w:w="1191" w:type="dxa"/>
            <w:tcBorders>
              <w:top w:val="nil"/>
              <w:left w:val="nil"/>
              <w:bottom w:val="single" w:sz="4" w:space="0" w:color="auto"/>
              <w:right w:val="single" w:sz="4" w:space="0" w:color="auto"/>
            </w:tcBorders>
            <w:shd w:val="clear" w:color="auto" w:fill="auto"/>
            <w:hideMark/>
          </w:tcPr>
          <w:p w14:paraId="7268ECB2"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c>
          <w:tcPr>
            <w:tcW w:w="925" w:type="dxa"/>
            <w:tcBorders>
              <w:top w:val="nil"/>
              <w:left w:val="nil"/>
              <w:bottom w:val="single" w:sz="4" w:space="0" w:color="auto"/>
              <w:right w:val="single" w:sz="4" w:space="0" w:color="auto"/>
            </w:tcBorders>
            <w:shd w:val="clear" w:color="auto" w:fill="auto"/>
            <w:hideMark/>
          </w:tcPr>
          <w:p w14:paraId="3E4D5FCD"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c>
          <w:tcPr>
            <w:tcW w:w="980" w:type="dxa"/>
            <w:tcBorders>
              <w:top w:val="nil"/>
              <w:left w:val="nil"/>
              <w:bottom w:val="single" w:sz="4" w:space="0" w:color="auto"/>
              <w:right w:val="single" w:sz="4" w:space="0" w:color="auto"/>
            </w:tcBorders>
            <w:shd w:val="clear" w:color="auto" w:fill="auto"/>
            <w:noWrap/>
            <w:vAlign w:val="bottom"/>
            <w:hideMark/>
          </w:tcPr>
          <w:p w14:paraId="39610E1F"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c>
          <w:tcPr>
            <w:tcW w:w="1072" w:type="dxa"/>
            <w:tcBorders>
              <w:top w:val="nil"/>
              <w:left w:val="nil"/>
              <w:bottom w:val="single" w:sz="4" w:space="0" w:color="auto"/>
              <w:right w:val="single" w:sz="4" w:space="0" w:color="auto"/>
            </w:tcBorders>
            <w:shd w:val="clear" w:color="auto" w:fill="auto"/>
            <w:noWrap/>
            <w:vAlign w:val="bottom"/>
            <w:hideMark/>
          </w:tcPr>
          <w:p w14:paraId="5B677C26"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c>
          <w:tcPr>
            <w:tcW w:w="980" w:type="dxa"/>
            <w:tcBorders>
              <w:top w:val="nil"/>
              <w:left w:val="nil"/>
              <w:bottom w:val="single" w:sz="4" w:space="0" w:color="auto"/>
              <w:right w:val="single" w:sz="4" w:space="0" w:color="auto"/>
            </w:tcBorders>
            <w:shd w:val="clear" w:color="auto" w:fill="auto"/>
            <w:noWrap/>
            <w:vAlign w:val="bottom"/>
            <w:hideMark/>
          </w:tcPr>
          <w:p w14:paraId="2C12A32F"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c>
          <w:tcPr>
            <w:tcW w:w="980" w:type="dxa"/>
            <w:tcBorders>
              <w:top w:val="nil"/>
              <w:left w:val="nil"/>
              <w:bottom w:val="single" w:sz="4" w:space="0" w:color="auto"/>
              <w:right w:val="single" w:sz="4" w:space="0" w:color="auto"/>
            </w:tcBorders>
            <w:shd w:val="clear" w:color="auto" w:fill="auto"/>
            <w:noWrap/>
            <w:vAlign w:val="bottom"/>
            <w:hideMark/>
          </w:tcPr>
          <w:p w14:paraId="620B12B2"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c>
          <w:tcPr>
            <w:tcW w:w="980" w:type="dxa"/>
            <w:tcBorders>
              <w:top w:val="nil"/>
              <w:left w:val="nil"/>
              <w:bottom w:val="single" w:sz="4" w:space="0" w:color="auto"/>
              <w:right w:val="single" w:sz="4" w:space="0" w:color="auto"/>
            </w:tcBorders>
            <w:shd w:val="clear" w:color="auto" w:fill="auto"/>
            <w:noWrap/>
            <w:vAlign w:val="bottom"/>
            <w:hideMark/>
          </w:tcPr>
          <w:p w14:paraId="5DD92196"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c>
          <w:tcPr>
            <w:tcW w:w="980" w:type="dxa"/>
            <w:tcBorders>
              <w:top w:val="nil"/>
              <w:left w:val="nil"/>
              <w:bottom w:val="single" w:sz="4" w:space="0" w:color="auto"/>
              <w:right w:val="single" w:sz="8" w:space="0" w:color="auto"/>
            </w:tcBorders>
            <w:shd w:val="clear" w:color="auto" w:fill="auto"/>
            <w:noWrap/>
            <w:vAlign w:val="bottom"/>
            <w:hideMark/>
          </w:tcPr>
          <w:p w14:paraId="6DEA590C"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r>
      <w:tr w:rsidR="00D819D2" w:rsidRPr="00080375" w14:paraId="0173B7C9" w14:textId="77777777" w:rsidTr="00D819D2">
        <w:trPr>
          <w:trHeight w:val="320"/>
        </w:trPr>
        <w:tc>
          <w:tcPr>
            <w:tcW w:w="911" w:type="dxa"/>
            <w:tcBorders>
              <w:top w:val="nil"/>
              <w:left w:val="single" w:sz="8" w:space="0" w:color="auto"/>
              <w:bottom w:val="single" w:sz="4" w:space="0" w:color="auto"/>
              <w:right w:val="nil"/>
            </w:tcBorders>
            <w:shd w:val="clear" w:color="000000" w:fill="D9D9D9"/>
            <w:hideMark/>
          </w:tcPr>
          <w:p w14:paraId="5699C46D"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c>
          <w:tcPr>
            <w:tcW w:w="669" w:type="dxa"/>
            <w:tcBorders>
              <w:top w:val="nil"/>
              <w:left w:val="nil"/>
              <w:bottom w:val="single" w:sz="4" w:space="0" w:color="auto"/>
              <w:right w:val="nil"/>
            </w:tcBorders>
            <w:shd w:val="clear" w:color="000000" w:fill="D9D9D9"/>
            <w:hideMark/>
          </w:tcPr>
          <w:p w14:paraId="64115F04" w14:textId="77777777" w:rsidR="00D819D2" w:rsidRPr="00995AAB" w:rsidRDefault="00D819D2" w:rsidP="00D819D2">
            <w:pPr>
              <w:jc w:val="center"/>
              <w:rPr>
                <w:rFonts w:ascii="Calibri" w:hAnsi="Calibri"/>
                <w:color w:val="FF0000"/>
                <w:sz w:val="16"/>
                <w:szCs w:val="16"/>
                <w:lang w:val="en-GB"/>
              </w:rPr>
            </w:pPr>
            <w:r w:rsidRPr="00995AAB">
              <w:rPr>
                <w:rFonts w:ascii="Calibri" w:hAnsi="Calibri"/>
                <w:color w:val="FF0000"/>
                <w:sz w:val="16"/>
                <w:szCs w:val="16"/>
                <w:lang w:val="en-GB"/>
              </w:rPr>
              <w:t>2</w:t>
            </w:r>
          </w:p>
        </w:tc>
        <w:tc>
          <w:tcPr>
            <w:tcW w:w="1192" w:type="dxa"/>
            <w:tcBorders>
              <w:top w:val="nil"/>
              <w:left w:val="single" w:sz="4" w:space="0" w:color="auto"/>
              <w:bottom w:val="single" w:sz="4" w:space="0" w:color="auto"/>
              <w:right w:val="single" w:sz="4" w:space="0" w:color="auto"/>
            </w:tcBorders>
            <w:shd w:val="clear" w:color="auto" w:fill="auto"/>
            <w:hideMark/>
          </w:tcPr>
          <w:p w14:paraId="0976F8FE"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c>
          <w:tcPr>
            <w:tcW w:w="1191" w:type="dxa"/>
            <w:tcBorders>
              <w:top w:val="nil"/>
              <w:left w:val="nil"/>
              <w:bottom w:val="single" w:sz="4" w:space="0" w:color="auto"/>
              <w:right w:val="single" w:sz="4" w:space="0" w:color="auto"/>
            </w:tcBorders>
            <w:shd w:val="clear" w:color="auto" w:fill="auto"/>
            <w:hideMark/>
          </w:tcPr>
          <w:p w14:paraId="343AE843"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c>
          <w:tcPr>
            <w:tcW w:w="925" w:type="dxa"/>
            <w:tcBorders>
              <w:top w:val="nil"/>
              <w:left w:val="nil"/>
              <w:bottom w:val="single" w:sz="4" w:space="0" w:color="auto"/>
              <w:right w:val="single" w:sz="4" w:space="0" w:color="auto"/>
            </w:tcBorders>
            <w:shd w:val="clear" w:color="auto" w:fill="auto"/>
            <w:hideMark/>
          </w:tcPr>
          <w:p w14:paraId="52ED30D3"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c>
          <w:tcPr>
            <w:tcW w:w="980" w:type="dxa"/>
            <w:tcBorders>
              <w:top w:val="nil"/>
              <w:left w:val="nil"/>
              <w:bottom w:val="single" w:sz="4" w:space="0" w:color="auto"/>
              <w:right w:val="single" w:sz="4" w:space="0" w:color="auto"/>
            </w:tcBorders>
            <w:shd w:val="clear" w:color="auto" w:fill="auto"/>
            <w:noWrap/>
            <w:vAlign w:val="bottom"/>
            <w:hideMark/>
          </w:tcPr>
          <w:p w14:paraId="7076EA5D"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c>
          <w:tcPr>
            <w:tcW w:w="1072" w:type="dxa"/>
            <w:tcBorders>
              <w:top w:val="nil"/>
              <w:left w:val="nil"/>
              <w:bottom w:val="single" w:sz="4" w:space="0" w:color="auto"/>
              <w:right w:val="single" w:sz="4" w:space="0" w:color="auto"/>
            </w:tcBorders>
            <w:shd w:val="clear" w:color="auto" w:fill="auto"/>
            <w:noWrap/>
            <w:vAlign w:val="bottom"/>
            <w:hideMark/>
          </w:tcPr>
          <w:p w14:paraId="1D09D837"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c>
          <w:tcPr>
            <w:tcW w:w="980" w:type="dxa"/>
            <w:tcBorders>
              <w:top w:val="nil"/>
              <w:left w:val="nil"/>
              <w:bottom w:val="single" w:sz="4" w:space="0" w:color="auto"/>
              <w:right w:val="single" w:sz="4" w:space="0" w:color="auto"/>
            </w:tcBorders>
            <w:shd w:val="clear" w:color="auto" w:fill="auto"/>
            <w:noWrap/>
            <w:vAlign w:val="bottom"/>
            <w:hideMark/>
          </w:tcPr>
          <w:p w14:paraId="1DB87526"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c>
          <w:tcPr>
            <w:tcW w:w="980" w:type="dxa"/>
            <w:tcBorders>
              <w:top w:val="nil"/>
              <w:left w:val="nil"/>
              <w:bottom w:val="single" w:sz="4" w:space="0" w:color="auto"/>
              <w:right w:val="single" w:sz="4" w:space="0" w:color="auto"/>
            </w:tcBorders>
            <w:shd w:val="clear" w:color="auto" w:fill="auto"/>
            <w:noWrap/>
            <w:vAlign w:val="bottom"/>
            <w:hideMark/>
          </w:tcPr>
          <w:p w14:paraId="4872EB00"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c>
          <w:tcPr>
            <w:tcW w:w="980" w:type="dxa"/>
            <w:tcBorders>
              <w:top w:val="nil"/>
              <w:left w:val="nil"/>
              <w:bottom w:val="single" w:sz="4" w:space="0" w:color="auto"/>
              <w:right w:val="single" w:sz="4" w:space="0" w:color="auto"/>
            </w:tcBorders>
            <w:shd w:val="clear" w:color="auto" w:fill="auto"/>
            <w:noWrap/>
            <w:vAlign w:val="bottom"/>
            <w:hideMark/>
          </w:tcPr>
          <w:p w14:paraId="7BAE41AD"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c>
          <w:tcPr>
            <w:tcW w:w="980" w:type="dxa"/>
            <w:tcBorders>
              <w:top w:val="nil"/>
              <w:left w:val="nil"/>
              <w:bottom w:val="single" w:sz="4" w:space="0" w:color="auto"/>
              <w:right w:val="single" w:sz="8" w:space="0" w:color="auto"/>
            </w:tcBorders>
            <w:shd w:val="clear" w:color="auto" w:fill="auto"/>
            <w:noWrap/>
            <w:vAlign w:val="bottom"/>
            <w:hideMark/>
          </w:tcPr>
          <w:p w14:paraId="671A9284"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r>
      <w:tr w:rsidR="00D819D2" w:rsidRPr="00080375" w14:paraId="2AB43904" w14:textId="77777777" w:rsidTr="00D819D2">
        <w:trPr>
          <w:trHeight w:val="340"/>
        </w:trPr>
        <w:tc>
          <w:tcPr>
            <w:tcW w:w="911" w:type="dxa"/>
            <w:tcBorders>
              <w:top w:val="nil"/>
              <w:left w:val="single" w:sz="8" w:space="0" w:color="auto"/>
              <w:bottom w:val="single" w:sz="8" w:space="0" w:color="auto"/>
              <w:right w:val="nil"/>
            </w:tcBorders>
            <w:shd w:val="clear" w:color="000000" w:fill="D9D9D9"/>
            <w:hideMark/>
          </w:tcPr>
          <w:p w14:paraId="4F5E47BA"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c>
          <w:tcPr>
            <w:tcW w:w="669" w:type="dxa"/>
            <w:tcBorders>
              <w:top w:val="nil"/>
              <w:left w:val="nil"/>
              <w:bottom w:val="single" w:sz="8" w:space="0" w:color="auto"/>
              <w:right w:val="nil"/>
            </w:tcBorders>
            <w:shd w:val="clear" w:color="000000" w:fill="D9D9D9"/>
            <w:hideMark/>
          </w:tcPr>
          <w:p w14:paraId="6EF27CC4" w14:textId="77777777" w:rsidR="00D819D2" w:rsidRPr="00995AAB" w:rsidRDefault="00D819D2" w:rsidP="00D819D2">
            <w:pPr>
              <w:jc w:val="center"/>
              <w:rPr>
                <w:rFonts w:ascii="Calibri" w:hAnsi="Calibri"/>
                <w:color w:val="FF0000"/>
                <w:sz w:val="16"/>
                <w:szCs w:val="16"/>
                <w:lang w:val="en-GB"/>
              </w:rPr>
            </w:pPr>
            <w:r w:rsidRPr="00995AAB">
              <w:rPr>
                <w:rFonts w:ascii="Calibri" w:hAnsi="Calibri"/>
                <w:color w:val="FF0000"/>
                <w:sz w:val="16"/>
                <w:szCs w:val="16"/>
                <w:lang w:val="en-GB"/>
              </w:rPr>
              <w:t>3</w:t>
            </w:r>
          </w:p>
        </w:tc>
        <w:tc>
          <w:tcPr>
            <w:tcW w:w="1192" w:type="dxa"/>
            <w:tcBorders>
              <w:top w:val="nil"/>
              <w:left w:val="single" w:sz="4" w:space="0" w:color="auto"/>
              <w:bottom w:val="single" w:sz="8" w:space="0" w:color="auto"/>
              <w:right w:val="single" w:sz="4" w:space="0" w:color="auto"/>
            </w:tcBorders>
            <w:shd w:val="clear" w:color="auto" w:fill="auto"/>
            <w:hideMark/>
          </w:tcPr>
          <w:p w14:paraId="67A95A78"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c>
          <w:tcPr>
            <w:tcW w:w="1191" w:type="dxa"/>
            <w:tcBorders>
              <w:top w:val="nil"/>
              <w:left w:val="nil"/>
              <w:bottom w:val="single" w:sz="8" w:space="0" w:color="auto"/>
              <w:right w:val="single" w:sz="4" w:space="0" w:color="auto"/>
            </w:tcBorders>
            <w:shd w:val="clear" w:color="auto" w:fill="auto"/>
            <w:hideMark/>
          </w:tcPr>
          <w:p w14:paraId="6700A3C1"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c>
          <w:tcPr>
            <w:tcW w:w="925" w:type="dxa"/>
            <w:tcBorders>
              <w:top w:val="nil"/>
              <w:left w:val="nil"/>
              <w:bottom w:val="single" w:sz="8" w:space="0" w:color="auto"/>
              <w:right w:val="single" w:sz="4" w:space="0" w:color="auto"/>
            </w:tcBorders>
            <w:shd w:val="clear" w:color="auto" w:fill="auto"/>
            <w:hideMark/>
          </w:tcPr>
          <w:p w14:paraId="1E970E1D"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c>
          <w:tcPr>
            <w:tcW w:w="980" w:type="dxa"/>
            <w:tcBorders>
              <w:top w:val="nil"/>
              <w:left w:val="nil"/>
              <w:bottom w:val="single" w:sz="8" w:space="0" w:color="auto"/>
              <w:right w:val="single" w:sz="4" w:space="0" w:color="auto"/>
            </w:tcBorders>
            <w:shd w:val="clear" w:color="auto" w:fill="auto"/>
            <w:noWrap/>
            <w:vAlign w:val="bottom"/>
            <w:hideMark/>
          </w:tcPr>
          <w:p w14:paraId="240530B3"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c>
          <w:tcPr>
            <w:tcW w:w="1072" w:type="dxa"/>
            <w:tcBorders>
              <w:top w:val="nil"/>
              <w:left w:val="nil"/>
              <w:bottom w:val="single" w:sz="8" w:space="0" w:color="auto"/>
              <w:right w:val="single" w:sz="4" w:space="0" w:color="auto"/>
            </w:tcBorders>
            <w:shd w:val="clear" w:color="auto" w:fill="auto"/>
            <w:noWrap/>
            <w:vAlign w:val="bottom"/>
            <w:hideMark/>
          </w:tcPr>
          <w:p w14:paraId="762A0569"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c>
          <w:tcPr>
            <w:tcW w:w="980" w:type="dxa"/>
            <w:tcBorders>
              <w:top w:val="nil"/>
              <w:left w:val="nil"/>
              <w:bottom w:val="single" w:sz="8" w:space="0" w:color="auto"/>
              <w:right w:val="single" w:sz="4" w:space="0" w:color="auto"/>
            </w:tcBorders>
            <w:shd w:val="clear" w:color="auto" w:fill="auto"/>
            <w:noWrap/>
            <w:vAlign w:val="bottom"/>
            <w:hideMark/>
          </w:tcPr>
          <w:p w14:paraId="451E8ACD"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c>
          <w:tcPr>
            <w:tcW w:w="980" w:type="dxa"/>
            <w:tcBorders>
              <w:top w:val="nil"/>
              <w:left w:val="nil"/>
              <w:bottom w:val="single" w:sz="8" w:space="0" w:color="auto"/>
              <w:right w:val="single" w:sz="4" w:space="0" w:color="auto"/>
            </w:tcBorders>
            <w:shd w:val="clear" w:color="auto" w:fill="auto"/>
            <w:noWrap/>
            <w:vAlign w:val="bottom"/>
            <w:hideMark/>
          </w:tcPr>
          <w:p w14:paraId="3FBFA57A"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c>
          <w:tcPr>
            <w:tcW w:w="980" w:type="dxa"/>
            <w:tcBorders>
              <w:top w:val="nil"/>
              <w:left w:val="nil"/>
              <w:bottom w:val="single" w:sz="8" w:space="0" w:color="auto"/>
              <w:right w:val="single" w:sz="4" w:space="0" w:color="auto"/>
            </w:tcBorders>
            <w:shd w:val="clear" w:color="auto" w:fill="auto"/>
            <w:noWrap/>
            <w:vAlign w:val="bottom"/>
            <w:hideMark/>
          </w:tcPr>
          <w:p w14:paraId="363C0C57"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c>
          <w:tcPr>
            <w:tcW w:w="980" w:type="dxa"/>
            <w:tcBorders>
              <w:top w:val="nil"/>
              <w:left w:val="nil"/>
              <w:bottom w:val="single" w:sz="8" w:space="0" w:color="auto"/>
              <w:right w:val="single" w:sz="8" w:space="0" w:color="auto"/>
            </w:tcBorders>
            <w:shd w:val="clear" w:color="auto" w:fill="auto"/>
            <w:noWrap/>
            <w:vAlign w:val="bottom"/>
            <w:hideMark/>
          </w:tcPr>
          <w:p w14:paraId="38B24956" w14:textId="77777777" w:rsidR="00D819D2" w:rsidRPr="00995AAB" w:rsidRDefault="00D819D2" w:rsidP="00D819D2">
            <w:pPr>
              <w:rPr>
                <w:rFonts w:ascii="Calibri" w:hAnsi="Calibri"/>
                <w:color w:val="000000"/>
                <w:sz w:val="16"/>
                <w:szCs w:val="16"/>
                <w:lang w:val="en-GB"/>
              </w:rPr>
            </w:pPr>
            <w:r w:rsidRPr="00995AAB">
              <w:rPr>
                <w:rFonts w:ascii="Calibri" w:hAnsi="Calibri"/>
                <w:color w:val="000000"/>
                <w:sz w:val="16"/>
                <w:szCs w:val="16"/>
                <w:lang w:val="en-GB"/>
              </w:rPr>
              <w:t> </w:t>
            </w:r>
          </w:p>
        </w:tc>
      </w:tr>
    </w:tbl>
    <w:p w14:paraId="5EFC20F3" w14:textId="77777777" w:rsidR="00625787" w:rsidRPr="00995AAB" w:rsidRDefault="00625787" w:rsidP="00FD62CD">
      <w:pPr>
        <w:rPr>
          <w:lang w:val="en-GB"/>
        </w:rPr>
      </w:pPr>
    </w:p>
    <w:p w14:paraId="0988E398" w14:textId="77777777" w:rsidR="002B4094" w:rsidRPr="00995AAB" w:rsidRDefault="002B4094" w:rsidP="00FD62CD">
      <w:pPr>
        <w:pStyle w:val="Heading4"/>
        <w:rPr>
          <w:lang w:val="en-GB"/>
        </w:rPr>
      </w:pPr>
      <w:r w:rsidRPr="00995AAB">
        <w:rPr>
          <w:lang w:val="en-GB"/>
        </w:rPr>
        <w:t>Attributes</w:t>
      </w:r>
    </w:p>
    <w:p w14:paraId="63900579" w14:textId="77777777" w:rsidR="00AD0C70" w:rsidRPr="00995AAB" w:rsidRDefault="00AD0C70" w:rsidP="00AD0C70">
      <w:pPr>
        <w:rPr>
          <w:lang w:val="en-GB"/>
        </w:rPr>
      </w:pPr>
      <w:r w:rsidRPr="00995AAB">
        <w:rPr>
          <w:lang w:val="en-GB"/>
        </w:rPr>
        <w:t>The Table is populated with the following attributes</w:t>
      </w:r>
      <w:r w:rsidR="00DF5CC8">
        <w:rPr>
          <w:lang w:val="en-GB"/>
        </w:rPr>
        <w:t xml:space="preserve"> if there is a trade within 2 minutes of time T, fill in the following attributes ONLY</w:t>
      </w:r>
      <w:r w:rsidRPr="00995AAB">
        <w:rPr>
          <w:lang w:val="en-GB"/>
        </w:rPr>
        <w:t>::</w:t>
      </w:r>
    </w:p>
    <w:p w14:paraId="272EE932" w14:textId="77777777" w:rsidR="000D7608" w:rsidRPr="00995AAB" w:rsidRDefault="000D7608" w:rsidP="000D7608">
      <w:pPr>
        <w:rPr>
          <w:lang w:val="en-GB"/>
        </w:rPr>
      </w:pPr>
      <w:r w:rsidRPr="00995AAB">
        <w:rPr>
          <w:lang w:val="en-GB"/>
        </w:rPr>
        <w:t>3a)</w:t>
      </w:r>
      <w:r w:rsidRPr="00995AAB">
        <w:rPr>
          <w:lang w:val="en-GB"/>
        </w:rPr>
        <w:tab/>
        <w:t>the simple average price of all transactions for 2 mins after time T</w:t>
      </w:r>
    </w:p>
    <w:p w14:paraId="4DB4EEC4" w14:textId="77777777" w:rsidR="000D7608" w:rsidRPr="00995AAB" w:rsidRDefault="000D7608" w:rsidP="000D7608">
      <w:pPr>
        <w:rPr>
          <w:lang w:val="en-GB"/>
        </w:rPr>
      </w:pPr>
      <w:r w:rsidRPr="00995AAB">
        <w:rPr>
          <w:lang w:val="en-GB"/>
        </w:rPr>
        <w:t>3b)</w:t>
      </w:r>
      <w:r w:rsidRPr="00995AAB">
        <w:rPr>
          <w:lang w:val="en-GB"/>
        </w:rPr>
        <w:tab/>
        <w:t>Total value of all transactions for 2 mins after time T</w:t>
      </w:r>
    </w:p>
    <w:p w14:paraId="3138B99C" w14:textId="77777777" w:rsidR="00684A48" w:rsidRPr="00995AAB" w:rsidRDefault="00684A48" w:rsidP="000D7608">
      <w:pPr>
        <w:rPr>
          <w:lang w:val="en-GB"/>
        </w:rPr>
      </w:pPr>
    </w:p>
    <w:p w14:paraId="6835586E" w14:textId="5C4D2549" w:rsidR="00684A48" w:rsidRPr="00995AAB" w:rsidRDefault="00DF5CC8" w:rsidP="000D7608">
      <w:pPr>
        <w:rPr>
          <w:lang w:val="en-GB"/>
        </w:rPr>
      </w:pPr>
      <w:r>
        <w:rPr>
          <w:lang w:val="en-GB"/>
        </w:rPr>
        <w:t>However, i</w:t>
      </w:r>
      <w:r w:rsidR="00684A48" w:rsidRPr="00995AAB">
        <w:rPr>
          <w:lang w:val="en-GB"/>
        </w:rPr>
        <w:t xml:space="preserve">f there is no </w:t>
      </w:r>
      <w:r>
        <w:rPr>
          <w:lang w:val="en-GB"/>
        </w:rPr>
        <w:t xml:space="preserve">data for </w:t>
      </w:r>
      <w:r w:rsidR="00684A48" w:rsidRPr="00995AAB">
        <w:rPr>
          <w:lang w:val="en-GB"/>
        </w:rPr>
        <w:t xml:space="preserve">3a) or 3b) the table should be populated with all of the following: </w:t>
      </w:r>
    </w:p>
    <w:p w14:paraId="618E6E18" w14:textId="77777777" w:rsidR="000D7608" w:rsidRPr="00995AAB" w:rsidRDefault="000D7608" w:rsidP="000D7608">
      <w:pPr>
        <w:rPr>
          <w:lang w:val="en-GB"/>
        </w:rPr>
      </w:pPr>
      <w:r w:rsidRPr="00995AAB">
        <w:rPr>
          <w:lang w:val="en-GB"/>
        </w:rPr>
        <w:t>3c)</w:t>
      </w:r>
      <w:r w:rsidRPr="00995AAB">
        <w:rPr>
          <w:lang w:val="en-GB"/>
        </w:rPr>
        <w:tab/>
        <w:t>Price of First Transaction after time T (if no 3a/3b)</w:t>
      </w:r>
    </w:p>
    <w:p w14:paraId="30226B68" w14:textId="77777777" w:rsidR="000D7608" w:rsidRPr="00995AAB" w:rsidRDefault="000D7608" w:rsidP="000D7608">
      <w:pPr>
        <w:rPr>
          <w:lang w:val="en-GB"/>
        </w:rPr>
      </w:pPr>
      <w:r w:rsidRPr="00995AAB">
        <w:rPr>
          <w:lang w:val="en-GB"/>
        </w:rPr>
        <w:t>3d)</w:t>
      </w:r>
      <w:r w:rsidRPr="00995AAB">
        <w:rPr>
          <w:lang w:val="en-GB"/>
        </w:rPr>
        <w:tab/>
        <w:t>Time of Execution of First Transaction after time T (if no 3a/3b)</w:t>
      </w:r>
    </w:p>
    <w:p w14:paraId="337F42B5" w14:textId="3BEB08C0" w:rsidR="000D7608" w:rsidRPr="00995AAB" w:rsidRDefault="000D7608" w:rsidP="000D7608">
      <w:pPr>
        <w:rPr>
          <w:lang w:val="en-GB"/>
        </w:rPr>
      </w:pPr>
      <w:r w:rsidRPr="00995AAB">
        <w:rPr>
          <w:lang w:val="en-GB"/>
        </w:rPr>
        <w:t>3e)</w:t>
      </w:r>
      <w:r w:rsidRPr="00995AAB">
        <w:rPr>
          <w:lang w:val="en-GB"/>
        </w:rPr>
        <w:tab/>
        <w:t>Transaction</w:t>
      </w:r>
      <w:r w:rsidR="00E8713C">
        <w:rPr>
          <w:lang w:val="en-GB"/>
        </w:rPr>
        <w:t xml:space="preserve"> size</w:t>
      </w:r>
      <w:r w:rsidRPr="00995AAB">
        <w:rPr>
          <w:lang w:val="en-GB"/>
        </w:rPr>
        <w:t xml:space="preserve"> of First Transaction</w:t>
      </w:r>
      <w:r w:rsidR="009C317D">
        <w:rPr>
          <w:lang w:val="en-GB"/>
        </w:rPr>
        <w:t xml:space="preserve"> </w:t>
      </w:r>
      <w:r w:rsidRPr="00995AAB">
        <w:rPr>
          <w:lang w:val="en-GB"/>
        </w:rPr>
        <w:t>after time T (if no 3a/3b)</w:t>
      </w:r>
    </w:p>
    <w:p w14:paraId="342EEFFF" w14:textId="77777777" w:rsidR="000D7608" w:rsidRPr="00995AAB" w:rsidRDefault="000D7608" w:rsidP="000D7608">
      <w:pPr>
        <w:rPr>
          <w:lang w:val="en-GB"/>
        </w:rPr>
      </w:pPr>
      <w:r w:rsidRPr="00995AAB">
        <w:rPr>
          <w:lang w:val="en-GB"/>
        </w:rPr>
        <w:t>3f)</w:t>
      </w:r>
      <w:r w:rsidRPr="00995AAB">
        <w:rPr>
          <w:lang w:val="en-GB"/>
        </w:rPr>
        <w:tab/>
        <w:t>Trading System of First Transaction after time T (if no 3a/3b)</w:t>
      </w:r>
    </w:p>
    <w:p w14:paraId="07B9E61A" w14:textId="627B5C45" w:rsidR="000D7608" w:rsidRPr="00995AAB" w:rsidRDefault="000D7608" w:rsidP="00FD62CD">
      <w:pPr>
        <w:ind w:left="720" w:hanging="720"/>
        <w:rPr>
          <w:lang w:val="en-GB"/>
        </w:rPr>
      </w:pPr>
      <w:r w:rsidRPr="00995AAB">
        <w:rPr>
          <w:lang w:val="en-GB"/>
        </w:rPr>
        <w:t>3g)</w:t>
      </w:r>
      <w:r w:rsidRPr="00995AAB">
        <w:rPr>
          <w:lang w:val="en-GB"/>
        </w:rPr>
        <w:tab/>
        <w:t>Trading Mode [schedule</w:t>
      </w:r>
      <w:r w:rsidR="005134AE">
        <w:rPr>
          <w:lang w:val="en-GB"/>
        </w:rPr>
        <w:t>d</w:t>
      </w:r>
      <w:r w:rsidRPr="00995AAB">
        <w:rPr>
          <w:lang w:val="en-GB"/>
        </w:rPr>
        <w:t xml:space="preserve"> opening au</w:t>
      </w:r>
      <w:r w:rsidR="00CB1801" w:rsidRPr="00995AAB">
        <w:rPr>
          <w:lang w:val="en-GB"/>
        </w:rPr>
        <w:t>c</w:t>
      </w:r>
      <w:r w:rsidRPr="00995AAB">
        <w:rPr>
          <w:lang w:val="en-GB"/>
        </w:rPr>
        <w:t>tion, scheduled closing auction, scheduled intraday auction, unscheduled auction, trading at close, trading out of main session, trade reporting] of First Transaction after time T (if no 3a/3b)</w:t>
      </w:r>
    </w:p>
    <w:p w14:paraId="01BD2C78" w14:textId="77777777" w:rsidR="000D7608" w:rsidRPr="00995AAB" w:rsidRDefault="000D7608" w:rsidP="000D7608">
      <w:pPr>
        <w:rPr>
          <w:lang w:val="en-GB"/>
        </w:rPr>
      </w:pPr>
      <w:r w:rsidRPr="00995AAB">
        <w:rPr>
          <w:lang w:val="en-GB"/>
        </w:rPr>
        <w:t>3h)</w:t>
      </w:r>
      <w:r w:rsidRPr="00995AAB">
        <w:rPr>
          <w:lang w:val="en-GB"/>
        </w:rPr>
        <w:tab/>
        <w:t>Trading Platform [electronic, voice, outcry] of First Transaction after time T (if no 3a/3b)</w:t>
      </w:r>
    </w:p>
    <w:p w14:paraId="515FB3D6" w14:textId="77777777" w:rsidR="00625787" w:rsidRDefault="000D7608" w:rsidP="00FD62CD">
      <w:pPr>
        <w:ind w:left="709" w:hanging="709"/>
        <w:rPr>
          <w:lang w:val="en-GB"/>
        </w:rPr>
      </w:pPr>
      <w:r w:rsidRPr="00995AAB">
        <w:rPr>
          <w:lang w:val="en-GB"/>
        </w:rPr>
        <w:t>3i)</w:t>
      </w:r>
      <w:r w:rsidRPr="00995AAB">
        <w:rPr>
          <w:lang w:val="en-GB"/>
        </w:rPr>
        <w:tab/>
        <w:t>OR Best bid/offer or suitable reference price at time of execution of First Transaction after time T (if no 3a/3b)</w:t>
      </w:r>
    </w:p>
    <w:p w14:paraId="5F82F415" w14:textId="77777777" w:rsidR="00393DDF" w:rsidRDefault="00393DDF" w:rsidP="00FD62CD">
      <w:pPr>
        <w:ind w:left="709" w:hanging="709"/>
        <w:rPr>
          <w:lang w:val="en-GB"/>
        </w:rPr>
      </w:pPr>
    </w:p>
    <w:p w14:paraId="3DDAA438" w14:textId="77777777" w:rsidR="00593CF6" w:rsidRDefault="00593CF6" w:rsidP="00995AAB">
      <w:pPr>
        <w:rPr>
          <w:lang w:val="en-GB"/>
        </w:rPr>
      </w:pPr>
      <w:r>
        <w:rPr>
          <w:lang w:val="en-GB"/>
        </w:rPr>
        <w:t xml:space="preserve">The data is based on four points of time for T: 09:30, 11:30.00, 13:30.00 and 15:30.00 where </w:t>
      </w:r>
      <w:r w:rsidRPr="00593CF6">
        <w:rPr>
          <w:lang w:val="en-GB"/>
        </w:rPr>
        <w:t>T is stated as Coordinated Universal Time (UTC) and does not observe daylight saving time.</w:t>
      </w:r>
    </w:p>
    <w:p w14:paraId="07DAC2FA" w14:textId="79ACDD99" w:rsidR="00393DDF" w:rsidRDefault="00961498">
      <w:pPr>
        <w:ind w:left="709" w:hanging="709"/>
        <w:rPr>
          <w:lang w:val="en-GB"/>
        </w:rPr>
      </w:pPr>
      <w:r>
        <w:rPr>
          <w:lang w:val="en-GB"/>
        </w:rPr>
        <w:t xml:space="preserve">Each </w:t>
      </w:r>
      <w:r w:rsidR="00593CF6">
        <w:rPr>
          <w:lang w:val="en-GB"/>
        </w:rPr>
        <w:t xml:space="preserve">row is repeated 3 times according to the transaction sizes identified in section </w:t>
      </w:r>
      <w:r w:rsidR="007018C6">
        <w:rPr>
          <w:lang w:val="en-GB"/>
        </w:rPr>
        <w:fldChar w:fldCharType="begin"/>
      </w:r>
      <w:r w:rsidR="00593CF6">
        <w:rPr>
          <w:lang w:val="en-GB"/>
        </w:rPr>
        <w:instrText xml:space="preserve"> REF _Ref475109556 \r \h </w:instrText>
      </w:r>
      <w:r w:rsidR="007018C6">
        <w:rPr>
          <w:lang w:val="en-GB"/>
        </w:rPr>
      </w:r>
      <w:r w:rsidR="007018C6">
        <w:rPr>
          <w:lang w:val="en-GB"/>
        </w:rPr>
        <w:fldChar w:fldCharType="separate"/>
      </w:r>
      <w:r w:rsidR="00F64722">
        <w:rPr>
          <w:lang w:val="en-GB"/>
        </w:rPr>
        <w:t>6.1.3.3</w:t>
      </w:r>
      <w:r w:rsidR="007018C6">
        <w:rPr>
          <w:lang w:val="en-GB"/>
        </w:rPr>
        <w:fldChar w:fldCharType="end"/>
      </w:r>
      <w:r w:rsidR="00593CF6">
        <w:rPr>
          <w:lang w:val="en-GB"/>
        </w:rPr>
        <w:t>.</w:t>
      </w:r>
    </w:p>
    <w:p w14:paraId="580B4EF8" w14:textId="26B9C50C" w:rsidR="002D776A" w:rsidRPr="00995AAB" w:rsidRDefault="00160B61" w:rsidP="00F13BF4">
      <w:pPr>
        <w:ind w:left="709" w:hanging="709"/>
        <w:rPr>
          <w:lang w:val="en-GB"/>
        </w:rPr>
      </w:pPr>
      <w:r>
        <w:rPr>
          <w:lang w:val="en-GB"/>
        </w:rPr>
        <w:t xml:space="preserve">Where trades are subsequently cancelled or fail, no adjustments to this report are required. </w:t>
      </w:r>
    </w:p>
    <w:p w14:paraId="44E17582" w14:textId="77777777" w:rsidR="00625787" w:rsidRPr="00995AAB" w:rsidRDefault="00625787" w:rsidP="00FD62CD">
      <w:pPr>
        <w:pStyle w:val="Heading4"/>
        <w:rPr>
          <w:lang w:val="en-GB"/>
        </w:rPr>
      </w:pPr>
      <w:bookmarkStart w:id="50" w:name="_Ref475109556"/>
      <w:r w:rsidRPr="00995AAB">
        <w:rPr>
          <w:lang w:val="en-GB"/>
        </w:rPr>
        <w:t>Size Ranges</w:t>
      </w:r>
      <w:bookmarkEnd w:id="50"/>
    </w:p>
    <w:p w14:paraId="1865C7E8" w14:textId="77777777" w:rsidR="004F1DD8" w:rsidRPr="00995AAB" w:rsidRDefault="004F1DD8" w:rsidP="004F1DD8">
      <w:pPr>
        <w:rPr>
          <w:lang w:val="en-GB"/>
        </w:rPr>
      </w:pPr>
    </w:p>
    <w:tbl>
      <w:tblPr>
        <w:tblW w:w="7420" w:type="dxa"/>
        <w:tblLook w:val="04A0" w:firstRow="1" w:lastRow="0" w:firstColumn="1" w:lastColumn="0" w:noHBand="0" w:noVBand="1"/>
      </w:tblPr>
      <w:tblGrid>
        <w:gridCol w:w="920"/>
        <w:gridCol w:w="1080"/>
        <w:gridCol w:w="1240"/>
        <w:gridCol w:w="1240"/>
        <w:gridCol w:w="980"/>
        <w:gridCol w:w="980"/>
        <w:gridCol w:w="980"/>
      </w:tblGrid>
      <w:tr w:rsidR="004F1DD8" w:rsidRPr="00080375" w14:paraId="19E6396E" w14:textId="77777777" w:rsidTr="004F1DD8">
        <w:trPr>
          <w:trHeight w:val="378"/>
        </w:trPr>
        <w:tc>
          <w:tcPr>
            <w:tcW w:w="920" w:type="dxa"/>
            <w:tcBorders>
              <w:top w:val="nil"/>
              <w:left w:val="nil"/>
              <w:bottom w:val="nil"/>
              <w:right w:val="nil"/>
            </w:tcBorders>
            <w:shd w:val="clear" w:color="auto" w:fill="auto"/>
            <w:vAlign w:val="bottom"/>
            <w:hideMark/>
          </w:tcPr>
          <w:p w14:paraId="13B2D44B" w14:textId="77777777" w:rsidR="004F1DD8" w:rsidRPr="00995AAB" w:rsidRDefault="004F1DD8" w:rsidP="004F1DD8">
            <w:pPr>
              <w:rPr>
                <w:rFonts w:ascii="Times New Roman" w:hAnsi="Times New Roman"/>
                <w:sz w:val="16"/>
                <w:szCs w:val="16"/>
                <w:lang w:val="en-GB"/>
              </w:rPr>
            </w:pPr>
          </w:p>
        </w:tc>
        <w:tc>
          <w:tcPr>
            <w:tcW w:w="2320" w:type="dxa"/>
            <w:gridSpan w:val="2"/>
            <w:tcBorders>
              <w:top w:val="single" w:sz="8" w:space="0" w:color="auto"/>
              <w:left w:val="single" w:sz="8" w:space="0" w:color="auto"/>
              <w:bottom w:val="single" w:sz="8" w:space="0" w:color="auto"/>
              <w:right w:val="single" w:sz="8" w:space="0" w:color="000000"/>
            </w:tcBorders>
            <w:shd w:val="clear" w:color="000000" w:fill="D9D9D9"/>
            <w:vAlign w:val="bottom"/>
            <w:hideMark/>
          </w:tcPr>
          <w:p w14:paraId="4E86FFE3" w14:textId="77777777" w:rsidR="004F1DD8" w:rsidRPr="00995AAB" w:rsidRDefault="004F1DD8" w:rsidP="004F1DD8">
            <w:pPr>
              <w:jc w:val="center"/>
              <w:rPr>
                <w:rFonts w:ascii="Calibri" w:hAnsi="Calibri"/>
                <w:color w:val="000000"/>
                <w:sz w:val="16"/>
                <w:szCs w:val="16"/>
                <w:lang w:val="en-GB"/>
              </w:rPr>
            </w:pPr>
            <w:r w:rsidRPr="00995AAB">
              <w:rPr>
                <w:rFonts w:ascii="Calibri" w:hAnsi="Calibri"/>
                <w:color w:val="000000"/>
                <w:sz w:val="16"/>
                <w:szCs w:val="16"/>
                <w:lang w:val="en-GB"/>
              </w:rPr>
              <w:t>All financial instruments other than Money Mkt</w:t>
            </w:r>
          </w:p>
        </w:tc>
        <w:tc>
          <w:tcPr>
            <w:tcW w:w="2220" w:type="dxa"/>
            <w:gridSpan w:val="2"/>
            <w:tcBorders>
              <w:top w:val="single" w:sz="8" w:space="0" w:color="auto"/>
              <w:left w:val="nil"/>
              <w:bottom w:val="single" w:sz="8" w:space="0" w:color="auto"/>
              <w:right w:val="single" w:sz="8" w:space="0" w:color="000000"/>
            </w:tcBorders>
            <w:shd w:val="clear" w:color="000000" w:fill="D9D9D9"/>
            <w:vAlign w:val="bottom"/>
            <w:hideMark/>
          </w:tcPr>
          <w:p w14:paraId="2C137B9C" w14:textId="77777777" w:rsidR="004F1DD8" w:rsidRPr="00995AAB" w:rsidRDefault="004F1DD8" w:rsidP="004F1DD8">
            <w:pPr>
              <w:jc w:val="center"/>
              <w:rPr>
                <w:rFonts w:ascii="Calibri" w:hAnsi="Calibri"/>
                <w:color w:val="000000"/>
                <w:sz w:val="16"/>
                <w:szCs w:val="16"/>
                <w:lang w:val="en-GB"/>
              </w:rPr>
            </w:pPr>
            <w:r w:rsidRPr="00995AAB">
              <w:rPr>
                <w:rFonts w:ascii="Calibri" w:hAnsi="Calibri"/>
                <w:color w:val="000000"/>
                <w:sz w:val="16"/>
                <w:szCs w:val="16"/>
                <w:lang w:val="en-GB"/>
              </w:rPr>
              <w:t>Illiquid Shares, Exchange Traded Funds or Certs</w:t>
            </w:r>
          </w:p>
        </w:tc>
        <w:tc>
          <w:tcPr>
            <w:tcW w:w="1960" w:type="dxa"/>
            <w:gridSpan w:val="2"/>
            <w:tcBorders>
              <w:top w:val="single" w:sz="8" w:space="0" w:color="auto"/>
              <w:left w:val="nil"/>
              <w:bottom w:val="single" w:sz="8" w:space="0" w:color="auto"/>
              <w:right w:val="single" w:sz="8" w:space="0" w:color="000000"/>
            </w:tcBorders>
            <w:shd w:val="clear" w:color="000000" w:fill="D9D9D9"/>
            <w:noWrap/>
            <w:vAlign w:val="bottom"/>
            <w:hideMark/>
          </w:tcPr>
          <w:p w14:paraId="0279E8D7" w14:textId="77777777" w:rsidR="004F1DD8" w:rsidRPr="00995AAB" w:rsidRDefault="004F1DD8" w:rsidP="004F1DD8">
            <w:pPr>
              <w:jc w:val="center"/>
              <w:rPr>
                <w:rFonts w:ascii="Calibri" w:hAnsi="Calibri"/>
                <w:color w:val="000000"/>
                <w:sz w:val="16"/>
                <w:szCs w:val="16"/>
                <w:lang w:val="en-GB"/>
              </w:rPr>
            </w:pPr>
            <w:r w:rsidRPr="00995AAB">
              <w:rPr>
                <w:rFonts w:ascii="Calibri" w:hAnsi="Calibri"/>
                <w:color w:val="000000"/>
                <w:sz w:val="16"/>
                <w:szCs w:val="16"/>
                <w:lang w:val="en-GB"/>
              </w:rPr>
              <w:t>Money Market Instruments</w:t>
            </w:r>
          </w:p>
        </w:tc>
      </w:tr>
      <w:tr w:rsidR="004F1DD8" w:rsidRPr="00080375" w14:paraId="735460C7" w14:textId="77777777" w:rsidTr="004F1DD8">
        <w:trPr>
          <w:trHeight w:val="1220"/>
        </w:trPr>
        <w:tc>
          <w:tcPr>
            <w:tcW w:w="920" w:type="dxa"/>
            <w:tcBorders>
              <w:top w:val="single" w:sz="8" w:space="0" w:color="auto"/>
              <w:left w:val="single" w:sz="8" w:space="0" w:color="auto"/>
              <w:bottom w:val="single" w:sz="8" w:space="0" w:color="auto"/>
              <w:right w:val="single" w:sz="8" w:space="0" w:color="auto"/>
            </w:tcBorders>
            <w:shd w:val="clear" w:color="000000" w:fill="D9D9D9"/>
            <w:hideMark/>
          </w:tcPr>
          <w:p w14:paraId="3035E2B8" w14:textId="77777777" w:rsidR="004F1DD8" w:rsidRPr="00995AAB" w:rsidRDefault="004F1DD8" w:rsidP="004F1DD8">
            <w:pPr>
              <w:jc w:val="center"/>
              <w:rPr>
                <w:rFonts w:ascii="Calibri" w:hAnsi="Calibri"/>
                <w:color w:val="000000"/>
                <w:sz w:val="16"/>
                <w:szCs w:val="16"/>
                <w:lang w:val="en-GB"/>
              </w:rPr>
            </w:pPr>
            <w:r w:rsidRPr="00995AAB">
              <w:rPr>
                <w:rFonts w:ascii="Calibri" w:hAnsi="Calibri"/>
                <w:color w:val="000000"/>
                <w:sz w:val="16"/>
                <w:szCs w:val="16"/>
                <w:lang w:val="en-GB"/>
              </w:rPr>
              <w:t>Size Range</w:t>
            </w:r>
          </w:p>
        </w:tc>
        <w:tc>
          <w:tcPr>
            <w:tcW w:w="1080" w:type="dxa"/>
            <w:tcBorders>
              <w:top w:val="nil"/>
              <w:left w:val="nil"/>
              <w:bottom w:val="nil"/>
              <w:right w:val="nil"/>
            </w:tcBorders>
            <w:shd w:val="clear" w:color="000000" w:fill="D9D9D9"/>
            <w:hideMark/>
          </w:tcPr>
          <w:p w14:paraId="1E476857" w14:textId="77777777" w:rsidR="004F1DD8" w:rsidRPr="00995AAB" w:rsidRDefault="004F1DD8" w:rsidP="004F1DD8">
            <w:pPr>
              <w:rPr>
                <w:rFonts w:ascii="Calibri" w:hAnsi="Calibri"/>
                <w:color w:val="000000"/>
                <w:sz w:val="16"/>
                <w:szCs w:val="16"/>
                <w:lang w:val="en-GB"/>
              </w:rPr>
            </w:pPr>
            <w:r w:rsidRPr="00995AAB">
              <w:rPr>
                <w:rFonts w:ascii="Calibri" w:hAnsi="Calibri"/>
                <w:color w:val="000000"/>
                <w:sz w:val="16"/>
                <w:szCs w:val="16"/>
                <w:lang w:val="en-GB"/>
              </w:rPr>
              <w:t>Trading Venues</w:t>
            </w:r>
          </w:p>
        </w:tc>
        <w:tc>
          <w:tcPr>
            <w:tcW w:w="1240" w:type="dxa"/>
            <w:tcBorders>
              <w:top w:val="nil"/>
              <w:left w:val="nil"/>
              <w:bottom w:val="nil"/>
              <w:right w:val="single" w:sz="8" w:space="0" w:color="auto"/>
            </w:tcBorders>
            <w:shd w:val="clear" w:color="000000" w:fill="D9D9D9"/>
            <w:hideMark/>
          </w:tcPr>
          <w:p w14:paraId="347A8DA0" w14:textId="77777777" w:rsidR="004F1DD8" w:rsidRPr="00995AAB" w:rsidRDefault="004F1DD8" w:rsidP="004F1DD8">
            <w:pPr>
              <w:rPr>
                <w:rFonts w:ascii="Calibri" w:hAnsi="Calibri"/>
                <w:color w:val="000000"/>
                <w:sz w:val="16"/>
                <w:szCs w:val="16"/>
                <w:lang w:val="en-GB"/>
              </w:rPr>
            </w:pPr>
            <w:r w:rsidRPr="00995AAB">
              <w:rPr>
                <w:rFonts w:ascii="Calibri" w:hAnsi="Calibri"/>
                <w:color w:val="000000"/>
                <w:sz w:val="16"/>
                <w:szCs w:val="16"/>
                <w:lang w:val="en-GB"/>
              </w:rPr>
              <w:t xml:space="preserve">SIs, Market </w:t>
            </w:r>
            <w:r w:rsidR="00080375" w:rsidRPr="00995AAB">
              <w:rPr>
                <w:rFonts w:ascii="Calibri" w:hAnsi="Calibri"/>
                <w:color w:val="000000"/>
                <w:sz w:val="16"/>
                <w:szCs w:val="16"/>
                <w:lang w:val="en-GB"/>
              </w:rPr>
              <w:t>M</w:t>
            </w:r>
            <w:r w:rsidR="00080375">
              <w:rPr>
                <w:rFonts w:ascii="Calibri" w:hAnsi="Calibri"/>
                <w:color w:val="000000"/>
                <w:sz w:val="16"/>
                <w:szCs w:val="16"/>
                <w:lang w:val="en-GB"/>
              </w:rPr>
              <w:t>a</w:t>
            </w:r>
            <w:r w:rsidR="00080375" w:rsidRPr="00995AAB">
              <w:rPr>
                <w:rFonts w:ascii="Calibri" w:hAnsi="Calibri"/>
                <w:color w:val="000000"/>
                <w:sz w:val="16"/>
                <w:szCs w:val="16"/>
                <w:lang w:val="en-GB"/>
              </w:rPr>
              <w:t>k</w:t>
            </w:r>
            <w:r w:rsidR="00080375">
              <w:rPr>
                <w:rFonts w:ascii="Calibri" w:hAnsi="Calibri"/>
                <w:color w:val="000000"/>
                <w:sz w:val="16"/>
                <w:szCs w:val="16"/>
                <w:lang w:val="en-GB"/>
              </w:rPr>
              <w:t>e</w:t>
            </w:r>
            <w:r w:rsidR="00080375" w:rsidRPr="00995AAB">
              <w:rPr>
                <w:rFonts w:ascii="Calibri" w:hAnsi="Calibri"/>
                <w:color w:val="000000"/>
                <w:sz w:val="16"/>
                <w:szCs w:val="16"/>
                <w:lang w:val="en-GB"/>
              </w:rPr>
              <w:t>rs</w:t>
            </w:r>
            <w:r w:rsidRPr="00995AAB">
              <w:rPr>
                <w:rFonts w:ascii="Calibri" w:hAnsi="Calibri"/>
                <w:color w:val="000000"/>
                <w:sz w:val="16"/>
                <w:szCs w:val="16"/>
                <w:lang w:val="en-GB"/>
              </w:rPr>
              <w:t xml:space="preserve">, </w:t>
            </w:r>
            <w:r w:rsidRPr="00995AAB">
              <w:rPr>
                <w:rFonts w:ascii="Calibri" w:hAnsi="Calibri"/>
                <w:color w:val="000000"/>
                <w:sz w:val="16"/>
                <w:szCs w:val="16"/>
                <w:lang w:val="en-GB"/>
              </w:rPr>
              <w:br/>
              <w:t>Other liquidity providers</w:t>
            </w:r>
          </w:p>
        </w:tc>
        <w:tc>
          <w:tcPr>
            <w:tcW w:w="1240" w:type="dxa"/>
            <w:tcBorders>
              <w:top w:val="nil"/>
              <w:left w:val="nil"/>
              <w:bottom w:val="nil"/>
              <w:right w:val="nil"/>
            </w:tcBorders>
            <w:shd w:val="clear" w:color="000000" w:fill="D9D9D9"/>
            <w:hideMark/>
          </w:tcPr>
          <w:p w14:paraId="5C97F98E" w14:textId="77777777" w:rsidR="004F1DD8" w:rsidRPr="00995AAB" w:rsidRDefault="004F1DD8" w:rsidP="004F1DD8">
            <w:pPr>
              <w:rPr>
                <w:rFonts w:ascii="Calibri" w:hAnsi="Calibri"/>
                <w:color w:val="000000"/>
                <w:sz w:val="16"/>
                <w:szCs w:val="16"/>
                <w:lang w:val="en-GB"/>
              </w:rPr>
            </w:pPr>
            <w:r w:rsidRPr="00995AAB">
              <w:rPr>
                <w:rFonts w:ascii="Calibri" w:hAnsi="Calibri"/>
                <w:color w:val="000000"/>
                <w:sz w:val="16"/>
                <w:szCs w:val="16"/>
                <w:lang w:val="en-GB"/>
              </w:rPr>
              <w:t>Trading Venues</w:t>
            </w:r>
          </w:p>
        </w:tc>
        <w:tc>
          <w:tcPr>
            <w:tcW w:w="980" w:type="dxa"/>
            <w:tcBorders>
              <w:top w:val="nil"/>
              <w:left w:val="nil"/>
              <w:bottom w:val="nil"/>
              <w:right w:val="single" w:sz="8" w:space="0" w:color="auto"/>
            </w:tcBorders>
            <w:shd w:val="clear" w:color="000000" w:fill="D9D9D9"/>
            <w:hideMark/>
          </w:tcPr>
          <w:p w14:paraId="4D4DB2E6" w14:textId="77777777" w:rsidR="004F1DD8" w:rsidRPr="00995AAB" w:rsidRDefault="004F1DD8" w:rsidP="004F1DD8">
            <w:pPr>
              <w:rPr>
                <w:rFonts w:ascii="Calibri" w:hAnsi="Calibri"/>
                <w:color w:val="000000"/>
                <w:sz w:val="16"/>
                <w:szCs w:val="16"/>
                <w:lang w:val="en-GB"/>
              </w:rPr>
            </w:pPr>
            <w:r w:rsidRPr="00995AAB">
              <w:rPr>
                <w:rFonts w:ascii="Calibri" w:hAnsi="Calibri"/>
                <w:color w:val="000000"/>
                <w:sz w:val="16"/>
                <w:szCs w:val="16"/>
                <w:lang w:val="en-GB"/>
              </w:rPr>
              <w:t xml:space="preserve">SIs, Market </w:t>
            </w:r>
            <w:r w:rsidR="00080375" w:rsidRPr="00995AAB">
              <w:rPr>
                <w:rFonts w:ascii="Calibri" w:hAnsi="Calibri"/>
                <w:color w:val="000000"/>
                <w:sz w:val="16"/>
                <w:szCs w:val="16"/>
                <w:lang w:val="en-GB"/>
              </w:rPr>
              <w:t>M</w:t>
            </w:r>
            <w:r w:rsidR="00080375">
              <w:rPr>
                <w:rFonts w:ascii="Calibri" w:hAnsi="Calibri"/>
                <w:color w:val="000000"/>
                <w:sz w:val="16"/>
                <w:szCs w:val="16"/>
                <w:lang w:val="en-GB"/>
              </w:rPr>
              <w:t>a</w:t>
            </w:r>
            <w:r w:rsidR="00080375" w:rsidRPr="00995AAB">
              <w:rPr>
                <w:rFonts w:ascii="Calibri" w:hAnsi="Calibri"/>
                <w:color w:val="000000"/>
                <w:sz w:val="16"/>
                <w:szCs w:val="16"/>
                <w:lang w:val="en-GB"/>
              </w:rPr>
              <w:t>k</w:t>
            </w:r>
            <w:r w:rsidR="00080375">
              <w:rPr>
                <w:rFonts w:ascii="Calibri" w:hAnsi="Calibri"/>
                <w:color w:val="000000"/>
                <w:sz w:val="16"/>
                <w:szCs w:val="16"/>
                <w:lang w:val="en-GB"/>
              </w:rPr>
              <w:t>e</w:t>
            </w:r>
            <w:r w:rsidR="00080375" w:rsidRPr="00995AAB">
              <w:rPr>
                <w:rFonts w:ascii="Calibri" w:hAnsi="Calibri"/>
                <w:color w:val="000000"/>
                <w:sz w:val="16"/>
                <w:szCs w:val="16"/>
                <w:lang w:val="en-GB"/>
              </w:rPr>
              <w:t>rs</w:t>
            </w:r>
            <w:r w:rsidRPr="00995AAB">
              <w:rPr>
                <w:rFonts w:ascii="Calibri" w:hAnsi="Calibri"/>
                <w:color w:val="000000"/>
                <w:sz w:val="16"/>
                <w:szCs w:val="16"/>
                <w:lang w:val="en-GB"/>
              </w:rPr>
              <w:t xml:space="preserve">, </w:t>
            </w:r>
            <w:r w:rsidRPr="00995AAB">
              <w:rPr>
                <w:rFonts w:ascii="Calibri" w:hAnsi="Calibri"/>
                <w:color w:val="000000"/>
                <w:sz w:val="16"/>
                <w:szCs w:val="16"/>
                <w:lang w:val="en-GB"/>
              </w:rPr>
              <w:br/>
              <w:t>Other liquidity providers</w:t>
            </w:r>
          </w:p>
        </w:tc>
        <w:tc>
          <w:tcPr>
            <w:tcW w:w="980" w:type="dxa"/>
            <w:tcBorders>
              <w:top w:val="nil"/>
              <w:left w:val="nil"/>
              <w:bottom w:val="nil"/>
              <w:right w:val="nil"/>
            </w:tcBorders>
            <w:shd w:val="clear" w:color="000000" w:fill="D9D9D9"/>
            <w:hideMark/>
          </w:tcPr>
          <w:p w14:paraId="38D4F420" w14:textId="77777777" w:rsidR="004F1DD8" w:rsidRPr="00995AAB" w:rsidRDefault="004F1DD8" w:rsidP="004F1DD8">
            <w:pPr>
              <w:rPr>
                <w:rFonts w:ascii="Calibri" w:hAnsi="Calibri"/>
                <w:color w:val="000000"/>
                <w:sz w:val="16"/>
                <w:szCs w:val="16"/>
                <w:lang w:val="en-GB"/>
              </w:rPr>
            </w:pPr>
            <w:r w:rsidRPr="00995AAB">
              <w:rPr>
                <w:rFonts w:ascii="Calibri" w:hAnsi="Calibri"/>
                <w:color w:val="000000"/>
                <w:sz w:val="16"/>
                <w:szCs w:val="16"/>
                <w:lang w:val="en-GB"/>
              </w:rPr>
              <w:t>Trading Venues</w:t>
            </w:r>
          </w:p>
        </w:tc>
        <w:tc>
          <w:tcPr>
            <w:tcW w:w="980" w:type="dxa"/>
            <w:tcBorders>
              <w:top w:val="nil"/>
              <w:left w:val="nil"/>
              <w:bottom w:val="nil"/>
              <w:right w:val="single" w:sz="8" w:space="0" w:color="auto"/>
            </w:tcBorders>
            <w:shd w:val="clear" w:color="000000" w:fill="D9D9D9"/>
            <w:hideMark/>
          </w:tcPr>
          <w:p w14:paraId="5CA64FE8" w14:textId="77777777" w:rsidR="004F1DD8" w:rsidRPr="00995AAB" w:rsidRDefault="004F1DD8" w:rsidP="004F1DD8">
            <w:pPr>
              <w:rPr>
                <w:rFonts w:ascii="Calibri" w:hAnsi="Calibri"/>
                <w:color w:val="000000"/>
                <w:sz w:val="16"/>
                <w:szCs w:val="16"/>
                <w:lang w:val="en-GB"/>
              </w:rPr>
            </w:pPr>
            <w:r w:rsidRPr="00995AAB">
              <w:rPr>
                <w:rFonts w:ascii="Calibri" w:hAnsi="Calibri"/>
                <w:color w:val="000000"/>
                <w:sz w:val="16"/>
                <w:szCs w:val="16"/>
                <w:lang w:val="en-GB"/>
              </w:rPr>
              <w:t xml:space="preserve">SIs, Market </w:t>
            </w:r>
            <w:r w:rsidR="00080375" w:rsidRPr="00995AAB">
              <w:rPr>
                <w:rFonts w:ascii="Calibri" w:hAnsi="Calibri"/>
                <w:color w:val="000000"/>
                <w:sz w:val="16"/>
                <w:szCs w:val="16"/>
                <w:lang w:val="en-GB"/>
              </w:rPr>
              <w:t>M</w:t>
            </w:r>
            <w:r w:rsidR="00080375">
              <w:rPr>
                <w:rFonts w:ascii="Calibri" w:hAnsi="Calibri"/>
                <w:color w:val="000000"/>
                <w:sz w:val="16"/>
                <w:szCs w:val="16"/>
                <w:lang w:val="en-GB"/>
              </w:rPr>
              <w:t>a</w:t>
            </w:r>
            <w:r w:rsidR="00080375" w:rsidRPr="00995AAB">
              <w:rPr>
                <w:rFonts w:ascii="Calibri" w:hAnsi="Calibri"/>
                <w:color w:val="000000"/>
                <w:sz w:val="16"/>
                <w:szCs w:val="16"/>
                <w:lang w:val="en-GB"/>
              </w:rPr>
              <w:t>k</w:t>
            </w:r>
            <w:r w:rsidR="00080375">
              <w:rPr>
                <w:rFonts w:ascii="Calibri" w:hAnsi="Calibri"/>
                <w:color w:val="000000"/>
                <w:sz w:val="16"/>
                <w:szCs w:val="16"/>
                <w:lang w:val="en-GB"/>
              </w:rPr>
              <w:t>e</w:t>
            </w:r>
            <w:r w:rsidR="00080375" w:rsidRPr="00995AAB">
              <w:rPr>
                <w:rFonts w:ascii="Calibri" w:hAnsi="Calibri"/>
                <w:color w:val="000000"/>
                <w:sz w:val="16"/>
                <w:szCs w:val="16"/>
                <w:lang w:val="en-GB"/>
              </w:rPr>
              <w:t>rs</w:t>
            </w:r>
            <w:r w:rsidRPr="00995AAB">
              <w:rPr>
                <w:rFonts w:ascii="Calibri" w:hAnsi="Calibri"/>
                <w:color w:val="000000"/>
                <w:sz w:val="16"/>
                <w:szCs w:val="16"/>
                <w:lang w:val="en-GB"/>
              </w:rPr>
              <w:t xml:space="preserve">, </w:t>
            </w:r>
            <w:r w:rsidRPr="00995AAB">
              <w:rPr>
                <w:rFonts w:ascii="Calibri" w:hAnsi="Calibri"/>
                <w:color w:val="000000"/>
                <w:sz w:val="16"/>
                <w:szCs w:val="16"/>
                <w:lang w:val="en-GB"/>
              </w:rPr>
              <w:br/>
              <w:t>Other liquidity providers</w:t>
            </w:r>
          </w:p>
        </w:tc>
      </w:tr>
      <w:tr w:rsidR="004F1DD8" w:rsidRPr="00080375" w14:paraId="71839D05" w14:textId="77777777" w:rsidTr="00430F09">
        <w:trPr>
          <w:trHeight w:val="1622"/>
        </w:trPr>
        <w:tc>
          <w:tcPr>
            <w:tcW w:w="920" w:type="dxa"/>
            <w:tcBorders>
              <w:top w:val="nil"/>
              <w:left w:val="single" w:sz="8" w:space="0" w:color="auto"/>
              <w:bottom w:val="single" w:sz="4" w:space="0" w:color="auto"/>
              <w:right w:val="single" w:sz="8" w:space="0" w:color="auto"/>
            </w:tcBorders>
            <w:shd w:val="clear" w:color="auto" w:fill="auto"/>
            <w:hideMark/>
          </w:tcPr>
          <w:p w14:paraId="0711A8E9" w14:textId="77777777" w:rsidR="004F1DD8" w:rsidRPr="00995AAB" w:rsidRDefault="004F1DD8" w:rsidP="004F1DD8">
            <w:pPr>
              <w:jc w:val="center"/>
              <w:rPr>
                <w:rFonts w:ascii="Calibri" w:hAnsi="Calibri"/>
                <w:color w:val="FF0000"/>
                <w:sz w:val="16"/>
                <w:szCs w:val="16"/>
                <w:lang w:val="en-GB"/>
              </w:rPr>
            </w:pPr>
            <w:r w:rsidRPr="00995AAB">
              <w:rPr>
                <w:rFonts w:ascii="Calibri" w:hAnsi="Calibri"/>
                <w:color w:val="FF0000"/>
                <w:sz w:val="16"/>
                <w:szCs w:val="16"/>
                <w:lang w:val="en-GB"/>
              </w:rPr>
              <w:t>1</w:t>
            </w:r>
          </w:p>
        </w:tc>
        <w:tc>
          <w:tcPr>
            <w:tcW w:w="1080" w:type="dxa"/>
            <w:tcBorders>
              <w:top w:val="single" w:sz="8" w:space="0" w:color="auto"/>
              <w:left w:val="nil"/>
              <w:bottom w:val="single" w:sz="4" w:space="0" w:color="auto"/>
              <w:right w:val="nil"/>
            </w:tcBorders>
            <w:shd w:val="clear" w:color="auto" w:fill="auto"/>
            <w:hideMark/>
          </w:tcPr>
          <w:p w14:paraId="4B899470" w14:textId="77777777" w:rsidR="004F1DD8" w:rsidRPr="00995AAB" w:rsidRDefault="004F1DD8" w:rsidP="004F1DD8">
            <w:pPr>
              <w:rPr>
                <w:rFonts w:ascii="Calibri" w:hAnsi="Calibri"/>
                <w:color w:val="000000"/>
                <w:sz w:val="16"/>
                <w:szCs w:val="16"/>
                <w:lang w:val="en-GB"/>
              </w:rPr>
            </w:pPr>
            <w:r w:rsidRPr="00995AAB">
              <w:rPr>
                <w:rFonts w:ascii="Calibri" w:hAnsi="Calibri"/>
                <w:color w:val="000000"/>
                <w:sz w:val="16"/>
                <w:szCs w:val="16"/>
                <w:lang w:val="en-GB"/>
              </w:rPr>
              <w:t xml:space="preserve">&gt;€0 and </w:t>
            </w:r>
            <w:r w:rsidRPr="00995AAB">
              <w:rPr>
                <w:rFonts w:ascii="PMingLiU" w:eastAsia="PMingLiU" w:hAnsi="PMingLiU" w:cs="PMingLiU"/>
                <w:color w:val="000000"/>
                <w:sz w:val="16"/>
                <w:szCs w:val="16"/>
                <w:lang w:val="en-GB"/>
              </w:rPr>
              <w:br/>
            </w:r>
            <w:r w:rsidRPr="00995AAB">
              <w:rPr>
                <w:rFonts w:ascii="Calibri" w:hAnsi="Calibri"/>
                <w:color w:val="000000"/>
                <w:sz w:val="16"/>
                <w:szCs w:val="16"/>
                <w:lang w:val="en-GB"/>
              </w:rPr>
              <w:t>=&lt;Standard Market Size or SSTI (PostTrd)</w:t>
            </w:r>
          </w:p>
        </w:tc>
        <w:tc>
          <w:tcPr>
            <w:tcW w:w="1240" w:type="dxa"/>
            <w:tcBorders>
              <w:top w:val="single" w:sz="8" w:space="0" w:color="auto"/>
              <w:left w:val="nil"/>
              <w:bottom w:val="single" w:sz="4" w:space="0" w:color="auto"/>
              <w:right w:val="single" w:sz="8" w:space="0" w:color="auto"/>
            </w:tcBorders>
            <w:shd w:val="clear" w:color="auto" w:fill="auto"/>
            <w:hideMark/>
          </w:tcPr>
          <w:p w14:paraId="78106374" w14:textId="4BD79C94" w:rsidR="004F1DD8" w:rsidRPr="00995AAB" w:rsidRDefault="004F1DD8" w:rsidP="004F1DD8">
            <w:pPr>
              <w:rPr>
                <w:rFonts w:ascii="Calibri" w:hAnsi="Calibri"/>
                <w:color w:val="000000"/>
                <w:sz w:val="16"/>
                <w:szCs w:val="16"/>
                <w:lang w:val="en-GB"/>
              </w:rPr>
            </w:pPr>
            <w:r w:rsidRPr="00995AAB">
              <w:rPr>
                <w:rFonts w:ascii="Calibri" w:hAnsi="Calibri"/>
                <w:color w:val="000000"/>
                <w:sz w:val="16"/>
                <w:szCs w:val="16"/>
                <w:lang w:val="en-GB"/>
              </w:rPr>
              <w:t xml:space="preserve">&gt;€0 and </w:t>
            </w:r>
            <w:r w:rsidRPr="00995AAB">
              <w:rPr>
                <w:rFonts w:ascii="PMingLiU" w:eastAsia="PMingLiU" w:hAnsi="PMingLiU" w:cs="PMingLiU"/>
                <w:color w:val="000000"/>
                <w:sz w:val="16"/>
                <w:szCs w:val="16"/>
                <w:lang w:val="en-GB"/>
              </w:rPr>
              <w:br/>
            </w:r>
            <w:r w:rsidRPr="00995AAB">
              <w:rPr>
                <w:rFonts w:ascii="Calibri" w:hAnsi="Calibri"/>
                <w:color w:val="000000"/>
                <w:sz w:val="16"/>
                <w:szCs w:val="16"/>
                <w:lang w:val="en-GB"/>
              </w:rPr>
              <w:t>=&lt;Standard Market Size</w:t>
            </w:r>
            <w:r w:rsidR="00160B61">
              <w:rPr>
                <w:rFonts w:ascii="Calibri" w:hAnsi="Calibri"/>
                <w:color w:val="000000"/>
                <w:sz w:val="16"/>
                <w:szCs w:val="16"/>
                <w:lang w:val="en-GB"/>
              </w:rPr>
              <w:t xml:space="preserve"> (SMS) or SSTI (for all other instruments)</w:t>
            </w:r>
          </w:p>
        </w:tc>
        <w:tc>
          <w:tcPr>
            <w:tcW w:w="1240" w:type="dxa"/>
            <w:tcBorders>
              <w:top w:val="single" w:sz="8" w:space="0" w:color="auto"/>
              <w:left w:val="nil"/>
              <w:bottom w:val="single" w:sz="4" w:space="0" w:color="auto"/>
              <w:right w:val="nil"/>
            </w:tcBorders>
            <w:shd w:val="clear" w:color="auto" w:fill="auto"/>
            <w:hideMark/>
          </w:tcPr>
          <w:p w14:paraId="27C44005" w14:textId="3D282FD6" w:rsidR="004F1DD8" w:rsidRPr="00995AAB" w:rsidRDefault="004F1DD8" w:rsidP="004F1DD8">
            <w:pPr>
              <w:rPr>
                <w:rFonts w:ascii="Calibri" w:hAnsi="Calibri"/>
                <w:color w:val="000000"/>
                <w:sz w:val="16"/>
                <w:szCs w:val="16"/>
                <w:lang w:val="en-GB"/>
              </w:rPr>
            </w:pPr>
            <w:r w:rsidRPr="00995AAB">
              <w:rPr>
                <w:rFonts w:ascii="Calibri" w:hAnsi="Calibri"/>
                <w:color w:val="000000"/>
                <w:sz w:val="16"/>
                <w:szCs w:val="16"/>
                <w:lang w:val="en-GB"/>
              </w:rPr>
              <w:t xml:space="preserve">&gt;€0 and </w:t>
            </w:r>
            <w:r w:rsidRPr="00995AAB">
              <w:rPr>
                <w:rFonts w:ascii="PMingLiU" w:eastAsia="PMingLiU" w:hAnsi="PMingLiU" w:cs="PMingLiU"/>
                <w:color w:val="000000"/>
                <w:sz w:val="16"/>
                <w:szCs w:val="16"/>
                <w:lang w:val="en-GB"/>
              </w:rPr>
              <w:br/>
            </w:r>
            <w:r w:rsidRPr="00995AAB">
              <w:rPr>
                <w:rFonts w:ascii="Calibri" w:hAnsi="Calibri"/>
                <w:color w:val="000000"/>
                <w:sz w:val="16"/>
                <w:szCs w:val="16"/>
                <w:lang w:val="en-GB"/>
              </w:rPr>
              <w:t>=&lt; smallest available Standard Market Size</w:t>
            </w:r>
            <w:r w:rsidR="00160B61">
              <w:rPr>
                <w:rFonts w:ascii="Calibri" w:hAnsi="Calibri"/>
                <w:color w:val="000000"/>
                <w:sz w:val="16"/>
                <w:szCs w:val="16"/>
                <w:lang w:val="en-GB"/>
              </w:rPr>
              <w:t xml:space="preserve"> (SMS)</w:t>
            </w:r>
            <w:r w:rsidRPr="00995AAB">
              <w:rPr>
                <w:rFonts w:ascii="Calibri" w:hAnsi="Calibri"/>
                <w:color w:val="000000"/>
                <w:sz w:val="16"/>
                <w:szCs w:val="16"/>
                <w:lang w:val="en-GB"/>
              </w:rPr>
              <w:t xml:space="preserve"> for type of instrument</w:t>
            </w:r>
          </w:p>
        </w:tc>
        <w:tc>
          <w:tcPr>
            <w:tcW w:w="980" w:type="dxa"/>
            <w:tcBorders>
              <w:top w:val="single" w:sz="8" w:space="0" w:color="auto"/>
              <w:left w:val="nil"/>
              <w:bottom w:val="single" w:sz="4" w:space="0" w:color="auto"/>
              <w:right w:val="single" w:sz="8" w:space="0" w:color="auto"/>
            </w:tcBorders>
            <w:shd w:val="clear" w:color="auto" w:fill="auto"/>
            <w:hideMark/>
          </w:tcPr>
          <w:p w14:paraId="2ED8C26E" w14:textId="77777777" w:rsidR="004F1DD8" w:rsidRPr="00995AAB" w:rsidRDefault="004F1DD8" w:rsidP="004F1DD8">
            <w:pPr>
              <w:rPr>
                <w:rFonts w:ascii="Calibri" w:hAnsi="Calibri"/>
                <w:color w:val="000000"/>
                <w:sz w:val="16"/>
                <w:szCs w:val="16"/>
                <w:lang w:val="en-GB"/>
              </w:rPr>
            </w:pPr>
            <w:r w:rsidRPr="00995AAB">
              <w:rPr>
                <w:rFonts w:ascii="Calibri" w:hAnsi="Calibri"/>
                <w:color w:val="000000"/>
                <w:sz w:val="16"/>
                <w:szCs w:val="16"/>
                <w:lang w:val="en-GB"/>
              </w:rPr>
              <w:t xml:space="preserve">&gt;€0 and </w:t>
            </w:r>
            <w:r w:rsidRPr="00995AAB">
              <w:rPr>
                <w:rFonts w:ascii="PMingLiU" w:eastAsia="PMingLiU" w:hAnsi="PMingLiU" w:cs="PMingLiU"/>
                <w:color w:val="000000"/>
                <w:sz w:val="16"/>
                <w:szCs w:val="16"/>
                <w:lang w:val="en-GB"/>
              </w:rPr>
              <w:br/>
            </w:r>
            <w:r w:rsidRPr="00995AAB">
              <w:rPr>
                <w:rFonts w:ascii="Calibri" w:hAnsi="Calibri"/>
                <w:color w:val="000000"/>
                <w:sz w:val="16"/>
                <w:szCs w:val="16"/>
                <w:lang w:val="en-GB"/>
              </w:rPr>
              <w:t>=&lt; smallest available Standard Market Size for type of instrument</w:t>
            </w:r>
          </w:p>
        </w:tc>
        <w:tc>
          <w:tcPr>
            <w:tcW w:w="980" w:type="dxa"/>
            <w:tcBorders>
              <w:top w:val="single" w:sz="8" w:space="0" w:color="auto"/>
              <w:left w:val="nil"/>
              <w:bottom w:val="single" w:sz="4" w:space="0" w:color="auto"/>
              <w:right w:val="nil"/>
            </w:tcBorders>
            <w:shd w:val="clear" w:color="auto" w:fill="auto"/>
            <w:hideMark/>
          </w:tcPr>
          <w:p w14:paraId="4CA7BBCB" w14:textId="77777777" w:rsidR="004F1DD8" w:rsidRPr="00995AAB" w:rsidRDefault="004F1DD8" w:rsidP="004F1DD8">
            <w:pPr>
              <w:rPr>
                <w:rFonts w:ascii="Calibri" w:hAnsi="Calibri"/>
                <w:color w:val="000000"/>
                <w:sz w:val="16"/>
                <w:szCs w:val="16"/>
                <w:lang w:val="en-GB"/>
              </w:rPr>
            </w:pPr>
            <w:r w:rsidRPr="00995AAB">
              <w:rPr>
                <w:rFonts w:ascii="Calibri" w:hAnsi="Calibri"/>
                <w:color w:val="000000"/>
                <w:sz w:val="16"/>
                <w:szCs w:val="16"/>
                <w:lang w:val="en-GB"/>
              </w:rPr>
              <w:t>&gt;€0</w:t>
            </w:r>
            <w:r w:rsidRPr="00995AAB">
              <w:rPr>
                <w:rFonts w:ascii="PMingLiU" w:eastAsia="PMingLiU" w:hAnsi="PMingLiU" w:cs="PMingLiU"/>
                <w:color w:val="000000"/>
                <w:sz w:val="16"/>
                <w:szCs w:val="16"/>
                <w:lang w:val="en-GB"/>
              </w:rPr>
              <w:br/>
            </w:r>
            <w:r w:rsidRPr="00995AAB">
              <w:rPr>
                <w:rFonts w:ascii="Calibri" w:hAnsi="Calibri"/>
                <w:color w:val="000000"/>
                <w:sz w:val="16"/>
                <w:szCs w:val="16"/>
                <w:lang w:val="en-GB"/>
              </w:rPr>
              <w:t>&lt;=€10m</w:t>
            </w:r>
          </w:p>
        </w:tc>
        <w:tc>
          <w:tcPr>
            <w:tcW w:w="980" w:type="dxa"/>
            <w:tcBorders>
              <w:top w:val="single" w:sz="8" w:space="0" w:color="auto"/>
              <w:left w:val="nil"/>
              <w:bottom w:val="single" w:sz="4" w:space="0" w:color="auto"/>
              <w:right w:val="single" w:sz="8" w:space="0" w:color="auto"/>
            </w:tcBorders>
            <w:shd w:val="clear" w:color="auto" w:fill="auto"/>
            <w:hideMark/>
          </w:tcPr>
          <w:p w14:paraId="59DC3FAC" w14:textId="77777777" w:rsidR="004F1DD8" w:rsidRPr="00995AAB" w:rsidRDefault="004F1DD8" w:rsidP="004F1DD8">
            <w:pPr>
              <w:rPr>
                <w:rFonts w:ascii="Calibri" w:hAnsi="Calibri"/>
                <w:color w:val="000000"/>
                <w:sz w:val="16"/>
                <w:szCs w:val="16"/>
                <w:lang w:val="en-GB"/>
              </w:rPr>
            </w:pPr>
            <w:r w:rsidRPr="00995AAB">
              <w:rPr>
                <w:rFonts w:ascii="Calibri" w:hAnsi="Calibri"/>
                <w:color w:val="000000"/>
                <w:sz w:val="16"/>
                <w:szCs w:val="16"/>
                <w:lang w:val="en-GB"/>
              </w:rPr>
              <w:t>&gt;€0</w:t>
            </w:r>
            <w:r w:rsidRPr="00995AAB">
              <w:rPr>
                <w:rFonts w:ascii="PMingLiU" w:eastAsia="PMingLiU" w:hAnsi="PMingLiU" w:cs="PMingLiU"/>
                <w:color w:val="000000"/>
                <w:sz w:val="16"/>
                <w:szCs w:val="16"/>
                <w:lang w:val="en-GB"/>
              </w:rPr>
              <w:br/>
            </w:r>
            <w:r w:rsidRPr="00995AAB">
              <w:rPr>
                <w:rFonts w:ascii="Calibri" w:hAnsi="Calibri"/>
                <w:color w:val="000000"/>
                <w:sz w:val="16"/>
                <w:szCs w:val="16"/>
                <w:lang w:val="en-GB"/>
              </w:rPr>
              <w:t>&lt;=€10m</w:t>
            </w:r>
          </w:p>
        </w:tc>
      </w:tr>
      <w:tr w:rsidR="004F1DD8" w:rsidRPr="00080375" w14:paraId="1CF60870" w14:textId="77777777" w:rsidTr="00430F09">
        <w:trPr>
          <w:trHeight w:val="1757"/>
        </w:trPr>
        <w:tc>
          <w:tcPr>
            <w:tcW w:w="920" w:type="dxa"/>
            <w:tcBorders>
              <w:top w:val="nil"/>
              <w:left w:val="single" w:sz="8" w:space="0" w:color="auto"/>
              <w:bottom w:val="single" w:sz="4" w:space="0" w:color="auto"/>
              <w:right w:val="single" w:sz="8" w:space="0" w:color="auto"/>
            </w:tcBorders>
            <w:shd w:val="clear" w:color="auto" w:fill="auto"/>
            <w:hideMark/>
          </w:tcPr>
          <w:p w14:paraId="612BCC77" w14:textId="77777777" w:rsidR="004F1DD8" w:rsidRPr="00995AAB" w:rsidRDefault="004F1DD8" w:rsidP="004F1DD8">
            <w:pPr>
              <w:jc w:val="center"/>
              <w:rPr>
                <w:rFonts w:ascii="Calibri" w:hAnsi="Calibri"/>
                <w:color w:val="FF0000"/>
                <w:sz w:val="16"/>
                <w:szCs w:val="16"/>
                <w:lang w:val="en-GB"/>
              </w:rPr>
            </w:pPr>
            <w:r w:rsidRPr="00995AAB">
              <w:rPr>
                <w:rFonts w:ascii="Calibri" w:hAnsi="Calibri"/>
                <w:color w:val="FF0000"/>
                <w:sz w:val="16"/>
                <w:szCs w:val="16"/>
                <w:lang w:val="en-GB"/>
              </w:rPr>
              <w:t>2</w:t>
            </w:r>
          </w:p>
        </w:tc>
        <w:tc>
          <w:tcPr>
            <w:tcW w:w="1080" w:type="dxa"/>
            <w:tcBorders>
              <w:top w:val="nil"/>
              <w:left w:val="nil"/>
              <w:bottom w:val="single" w:sz="4" w:space="0" w:color="auto"/>
              <w:right w:val="nil"/>
            </w:tcBorders>
            <w:shd w:val="clear" w:color="auto" w:fill="auto"/>
            <w:hideMark/>
          </w:tcPr>
          <w:p w14:paraId="684FD09D" w14:textId="77777777" w:rsidR="004F1DD8" w:rsidRPr="00995AAB" w:rsidRDefault="004F1DD8" w:rsidP="004F1DD8">
            <w:pPr>
              <w:rPr>
                <w:rFonts w:ascii="Calibri" w:hAnsi="Calibri"/>
                <w:color w:val="000000"/>
                <w:sz w:val="16"/>
                <w:szCs w:val="16"/>
                <w:lang w:val="en-GB"/>
              </w:rPr>
            </w:pPr>
            <w:r w:rsidRPr="00995AAB">
              <w:rPr>
                <w:rFonts w:ascii="Calibri" w:hAnsi="Calibri"/>
                <w:color w:val="000000"/>
                <w:sz w:val="16"/>
                <w:szCs w:val="16"/>
                <w:lang w:val="en-GB"/>
              </w:rPr>
              <w:t>&gt;Standard Market Size or SSTI</w:t>
            </w:r>
            <w:r w:rsidRPr="00995AAB">
              <w:rPr>
                <w:rFonts w:ascii="Calibri" w:hAnsi="Calibri"/>
                <w:color w:val="000000"/>
                <w:sz w:val="16"/>
                <w:szCs w:val="16"/>
                <w:lang w:val="en-GB"/>
              </w:rPr>
              <w:br/>
              <w:t>=&lt;Large in Scale (PostTrd)</w:t>
            </w:r>
          </w:p>
        </w:tc>
        <w:tc>
          <w:tcPr>
            <w:tcW w:w="1240" w:type="dxa"/>
            <w:tcBorders>
              <w:top w:val="nil"/>
              <w:left w:val="nil"/>
              <w:bottom w:val="single" w:sz="4" w:space="0" w:color="auto"/>
              <w:right w:val="single" w:sz="8" w:space="0" w:color="auto"/>
            </w:tcBorders>
            <w:shd w:val="clear" w:color="000000" w:fill="000000"/>
            <w:hideMark/>
          </w:tcPr>
          <w:p w14:paraId="5902F9A4" w14:textId="77777777" w:rsidR="004F1DD8" w:rsidRPr="00995AAB" w:rsidRDefault="004F1DD8" w:rsidP="004F1DD8">
            <w:pPr>
              <w:rPr>
                <w:rFonts w:ascii="Calibri" w:hAnsi="Calibri"/>
                <w:color w:val="000000"/>
                <w:sz w:val="16"/>
                <w:szCs w:val="16"/>
                <w:lang w:val="en-GB"/>
              </w:rPr>
            </w:pPr>
            <w:r w:rsidRPr="00995AAB">
              <w:rPr>
                <w:rFonts w:ascii="Calibri" w:hAnsi="Calibri"/>
                <w:color w:val="000000"/>
                <w:sz w:val="16"/>
                <w:szCs w:val="16"/>
                <w:lang w:val="en-GB"/>
              </w:rPr>
              <w:t> </w:t>
            </w:r>
          </w:p>
        </w:tc>
        <w:tc>
          <w:tcPr>
            <w:tcW w:w="1240" w:type="dxa"/>
            <w:tcBorders>
              <w:top w:val="nil"/>
              <w:left w:val="nil"/>
              <w:bottom w:val="single" w:sz="4" w:space="0" w:color="auto"/>
              <w:right w:val="nil"/>
            </w:tcBorders>
            <w:shd w:val="clear" w:color="auto" w:fill="auto"/>
            <w:hideMark/>
          </w:tcPr>
          <w:p w14:paraId="622FE3EA" w14:textId="77777777" w:rsidR="004F1DD8" w:rsidRPr="00995AAB" w:rsidRDefault="004F1DD8" w:rsidP="004F1DD8">
            <w:pPr>
              <w:rPr>
                <w:rFonts w:ascii="Calibri" w:hAnsi="Calibri"/>
                <w:color w:val="000000"/>
                <w:sz w:val="16"/>
                <w:szCs w:val="16"/>
                <w:lang w:val="en-GB"/>
              </w:rPr>
            </w:pPr>
            <w:r w:rsidRPr="00995AAB">
              <w:rPr>
                <w:rFonts w:ascii="Calibri" w:hAnsi="Calibri"/>
                <w:color w:val="000000"/>
                <w:sz w:val="16"/>
                <w:szCs w:val="16"/>
                <w:lang w:val="en-GB"/>
              </w:rPr>
              <w:t>&gt;smallest available Standard Market Size for type of instrument</w:t>
            </w:r>
            <w:r w:rsidRPr="00995AAB">
              <w:rPr>
                <w:rFonts w:ascii="Calibri" w:hAnsi="Calibri"/>
                <w:color w:val="000000"/>
                <w:sz w:val="16"/>
                <w:szCs w:val="16"/>
                <w:lang w:val="en-GB"/>
              </w:rPr>
              <w:br/>
              <w:t>=&lt;Large in Scale (PostTrd)</w:t>
            </w:r>
          </w:p>
        </w:tc>
        <w:tc>
          <w:tcPr>
            <w:tcW w:w="980" w:type="dxa"/>
            <w:tcBorders>
              <w:top w:val="nil"/>
              <w:left w:val="nil"/>
              <w:bottom w:val="single" w:sz="4" w:space="0" w:color="auto"/>
              <w:right w:val="single" w:sz="8" w:space="0" w:color="auto"/>
            </w:tcBorders>
            <w:shd w:val="clear" w:color="000000" w:fill="000000"/>
            <w:hideMark/>
          </w:tcPr>
          <w:p w14:paraId="624771F4" w14:textId="77777777" w:rsidR="004F1DD8" w:rsidRPr="00995AAB" w:rsidRDefault="004F1DD8" w:rsidP="004F1DD8">
            <w:pPr>
              <w:rPr>
                <w:rFonts w:ascii="Calibri" w:hAnsi="Calibri"/>
                <w:color w:val="000000"/>
                <w:sz w:val="16"/>
                <w:szCs w:val="16"/>
                <w:lang w:val="en-GB"/>
              </w:rPr>
            </w:pPr>
            <w:r w:rsidRPr="00995AAB">
              <w:rPr>
                <w:rFonts w:ascii="Calibri" w:hAnsi="Calibri"/>
                <w:color w:val="000000"/>
                <w:sz w:val="16"/>
                <w:szCs w:val="16"/>
                <w:lang w:val="en-GB"/>
              </w:rPr>
              <w:t> </w:t>
            </w:r>
          </w:p>
        </w:tc>
        <w:tc>
          <w:tcPr>
            <w:tcW w:w="980" w:type="dxa"/>
            <w:tcBorders>
              <w:top w:val="nil"/>
              <w:left w:val="nil"/>
              <w:bottom w:val="single" w:sz="4" w:space="0" w:color="auto"/>
              <w:right w:val="nil"/>
            </w:tcBorders>
            <w:shd w:val="clear" w:color="auto" w:fill="auto"/>
            <w:hideMark/>
          </w:tcPr>
          <w:p w14:paraId="69EB97B2" w14:textId="77777777" w:rsidR="004F1DD8" w:rsidRPr="00995AAB" w:rsidRDefault="004F1DD8" w:rsidP="004F1DD8">
            <w:pPr>
              <w:rPr>
                <w:rFonts w:ascii="Calibri" w:hAnsi="Calibri"/>
                <w:color w:val="000000"/>
                <w:sz w:val="16"/>
                <w:szCs w:val="16"/>
                <w:lang w:val="en-GB"/>
              </w:rPr>
            </w:pPr>
            <w:r w:rsidRPr="00995AAB">
              <w:rPr>
                <w:rFonts w:ascii="Calibri" w:hAnsi="Calibri"/>
                <w:color w:val="000000"/>
                <w:sz w:val="16"/>
                <w:szCs w:val="16"/>
                <w:lang w:val="en-GB"/>
              </w:rPr>
              <w:t>&gt;€10m</w:t>
            </w:r>
            <w:r w:rsidRPr="00995AAB">
              <w:rPr>
                <w:rFonts w:ascii="PMingLiU" w:eastAsia="PMingLiU" w:hAnsi="PMingLiU" w:cs="PMingLiU"/>
                <w:color w:val="000000"/>
                <w:sz w:val="16"/>
                <w:szCs w:val="16"/>
                <w:lang w:val="en-GB"/>
              </w:rPr>
              <w:br/>
            </w:r>
            <w:r w:rsidRPr="00995AAB">
              <w:rPr>
                <w:rFonts w:ascii="Calibri" w:hAnsi="Calibri"/>
                <w:color w:val="000000"/>
                <w:sz w:val="16"/>
                <w:szCs w:val="16"/>
                <w:lang w:val="en-GB"/>
              </w:rPr>
              <w:t>&lt;=€50m</w:t>
            </w:r>
          </w:p>
        </w:tc>
        <w:tc>
          <w:tcPr>
            <w:tcW w:w="980" w:type="dxa"/>
            <w:tcBorders>
              <w:top w:val="nil"/>
              <w:left w:val="nil"/>
              <w:bottom w:val="single" w:sz="4" w:space="0" w:color="auto"/>
              <w:right w:val="single" w:sz="8" w:space="0" w:color="auto"/>
            </w:tcBorders>
            <w:shd w:val="clear" w:color="000000" w:fill="000000"/>
            <w:noWrap/>
            <w:hideMark/>
          </w:tcPr>
          <w:p w14:paraId="0E2783C0" w14:textId="77777777" w:rsidR="004F1DD8" w:rsidRPr="00995AAB" w:rsidRDefault="004F1DD8" w:rsidP="004F1DD8">
            <w:pPr>
              <w:rPr>
                <w:rFonts w:ascii="Calibri" w:hAnsi="Calibri"/>
                <w:color w:val="000000"/>
                <w:sz w:val="16"/>
                <w:szCs w:val="16"/>
                <w:lang w:val="en-GB"/>
              </w:rPr>
            </w:pPr>
            <w:r w:rsidRPr="00995AAB">
              <w:rPr>
                <w:rFonts w:ascii="Calibri" w:hAnsi="Calibri"/>
                <w:color w:val="000000"/>
                <w:sz w:val="16"/>
                <w:szCs w:val="16"/>
                <w:lang w:val="en-GB"/>
              </w:rPr>
              <w:t> </w:t>
            </w:r>
          </w:p>
        </w:tc>
      </w:tr>
      <w:tr w:rsidR="004F1DD8" w:rsidRPr="00080375" w14:paraId="06E88DEE" w14:textId="77777777" w:rsidTr="00430F09">
        <w:trPr>
          <w:trHeight w:val="835"/>
        </w:trPr>
        <w:tc>
          <w:tcPr>
            <w:tcW w:w="920" w:type="dxa"/>
            <w:tcBorders>
              <w:top w:val="nil"/>
              <w:left w:val="single" w:sz="8" w:space="0" w:color="auto"/>
              <w:bottom w:val="single" w:sz="8" w:space="0" w:color="auto"/>
              <w:right w:val="single" w:sz="8" w:space="0" w:color="auto"/>
            </w:tcBorders>
            <w:shd w:val="clear" w:color="auto" w:fill="auto"/>
            <w:hideMark/>
          </w:tcPr>
          <w:p w14:paraId="25AE6032" w14:textId="77777777" w:rsidR="004F1DD8" w:rsidRPr="00995AAB" w:rsidRDefault="004F1DD8" w:rsidP="004F1DD8">
            <w:pPr>
              <w:jc w:val="center"/>
              <w:rPr>
                <w:rFonts w:ascii="Calibri" w:hAnsi="Calibri"/>
                <w:color w:val="FF0000"/>
                <w:sz w:val="16"/>
                <w:szCs w:val="16"/>
                <w:lang w:val="en-GB"/>
              </w:rPr>
            </w:pPr>
            <w:r w:rsidRPr="00995AAB">
              <w:rPr>
                <w:rFonts w:ascii="Calibri" w:hAnsi="Calibri"/>
                <w:color w:val="FF0000"/>
                <w:sz w:val="16"/>
                <w:szCs w:val="16"/>
                <w:lang w:val="en-GB"/>
              </w:rPr>
              <w:t>3</w:t>
            </w:r>
          </w:p>
        </w:tc>
        <w:tc>
          <w:tcPr>
            <w:tcW w:w="1080" w:type="dxa"/>
            <w:tcBorders>
              <w:top w:val="nil"/>
              <w:left w:val="nil"/>
              <w:bottom w:val="single" w:sz="8" w:space="0" w:color="auto"/>
              <w:right w:val="nil"/>
            </w:tcBorders>
            <w:shd w:val="clear" w:color="auto" w:fill="auto"/>
            <w:hideMark/>
          </w:tcPr>
          <w:p w14:paraId="2DAD17C9" w14:textId="77777777" w:rsidR="004F1DD8" w:rsidRPr="00995AAB" w:rsidRDefault="004F1DD8" w:rsidP="004F1DD8">
            <w:pPr>
              <w:rPr>
                <w:rFonts w:ascii="Calibri" w:hAnsi="Calibri"/>
                <w:color w:val="000000"/>
                <w:sz w:val="16"/>
                <w:szCs w:val="16"/>
                <w:lang w:val="en-GB"/>
              </w:rPr>
            </w:pPr>
            <w:r w:rsidRPr="00995AAB">
              <w:rPr>
                <w:rFonts w:ascii="Calibri" w:hAnsi="Calibri"/>
                <w:color w:val="000000"/>
                <w:sz w:val="16"/>
                <w:szCs w:val="16"/>
                <w:lang w:val="en-GB"/>
              </w:rPr>
              <w:t>&gt; Large in Scale (PostTrd)</w:t>
            </w:r>
          </w:p>
        </w:tc>
        <w:tc>
          <w:tcPr>
            <w:tcW w:w="1240" w:type="dxa"/>
            <w:tcBorders>
              <w:top w:val="nil"/>
              <w:left w:val="nil"/>
              <w:bottom w:val="single" w:sz="8" w:space="0" w:color="auto"/>
              <w:right w:val="single" w:sz="8" w:space="0" w:color="auto"/>
            </w:tcBorders>
            <w:shd w:val="clear" w:color="000000" w:fill="000000"/>
            <w:hideMark/>
          </w:tcPr>
          <w:p w14:paraId="647647A5" w14:textId="77777777" w:rsidR="004F1DD8" w:rsidRPr="00995AAB" w:rsidRDefault="004F1DD8" w:rsidP="004F1DD8">
            <w:pPr>
              <w:rPr>
                <w:rFonts w:ascii="Calibri" w:hAnsi="Calibri"/>
                <w:color w:val="000000"/>
                <w:sz w:val="16"/>
                <w:szCs w:val="16"/>
                <w:lang w:val="en-GB"/>
              </w:rPr>
            </w:pPr>
            <w:r w:rsidRPr="00995AAB">
              <w:rPr>
                <w:rFonts w:ascii="Calibri" w:hAnsi="Calibri"/>
                <w:color w:val="000000"/>
                <w:sz w:val="16"/>
                <w:szCs w:val="16"/>
                <w:lang w:val="en-GB"/>
              </w:rPr>
              <w:t> </w:t>
            </w:r>
          </w:p>
        </w:tc>
        <w:tc>
          <w:tcPr>
            <w:tcW w:w="1240" w:type="dxa"/>
            <w:tcBorders>
              <w:top w:val="nil"/>
              <w:left w:val="nil"/>
              <w:bottom w:val="single" w:sz="8" w:space="0" w:color="auto"/>
              <w:right w:val="nil"/>
            </w:tcBorders>
            <w:shd w:val="clear" w:color="auto" w:fill="auto"/>
            <w:hideMark/>
          </w:tcPr>
          <w:p w14:paraId="28A765AD" w14:textId="77777777" w:rsidR="004F1DD8" w:rsidRPr="00995AAB" w:rsidRDefault="004F1DD8" w:rsidP="004F1DD8">
            <w:pPr>
              <w:rPr>
                <w:rFonts w:ascii="Calibri" w:hAnsi="Calibri"/>
                <w:color w:val="000000"/>
                <w:sz w:val="16"/>
                <w:szCs w:val="16"/>
                <w:lang w:val="en-GB"/>
              </w:rPr>
            </w:pPr>
            <w:r w:rsidRPr="00995AAB">
              <w:rPr>
                <w:rFonts w:ascii="Calibri" w:hAnsi="Calibri"/>
                <w:color w:val="000000"/>
                <w:sz w:val="16"/>
                <w:szCs w:val="16"/>
                <w:lang w:val="en-GB"/>
              </w:rPr>
              <w:t>&gt; Large in Scale (PostTrd)</w:t>
            </w:r>
          </w:p>
        </w:tc>
        <w:tc>
          <w:tcPr>
            <w:tcW w:w="980" w:type="dxa"/>
            <w:tcBorders>
              <w:top w:val="nil"/>
              <w:left w:val="nil"/>
              <w:bottom w:val="single" w:sz="8" w:space="0" w:color="auto"/>
              <w:right w:val="single" w:sz="8" w:space="0" w:color="auto"/>
            </w:tcBorders>
            <w:shd w:val="clear" w:color="000000" w:fill="000000"/>
            <w:hideMark/>
          </w:tcPr>
          <w:p w14:paraId="38F4646E" w14:textId="77777777" w:rsidR="004F1DD8" w:rsidRPr="00995AAB" w:rsidRDefault="004F1DD8" w:rsidP="004F1DD8">
            <w:pPr>
              <w:rPr>
                <w:rFonts w:ascii="Calibri" w:hAnsi="Calibri"/>
                <w:color w:val="000000"/>
                <w:sz w:val="16"/>
                <w:szCs w:val="16"/>
                <w:lang w:val="en-GB"/>
              </w:rPr>
            </w:pPr>
            <w:r w:rsidRPr="00995AAB">
              <w:rPr>
                <w:rFonts w:ascii="Calibri" w:hAnsi="Calibri"/>
                <w:color w:val="000000"/>
                <w:sz w:val="16"/>
                <w:szCs w:val="16"/>
                <w:lang w:val="en-GB"/>
              </w:rPr>
              <w:t> </w:t>
            </w:r>
          </w:p>
        </w:tc>
        <w:tc>
          <w:tcPr>
            <w:tcW w:w="980" w:type="dxa"/>
            <w:tcBorders>
              <w:top w:val="nil"/>
              <w:left w:val="nil"/>
              <w:bottom w:val="single" w:sz="8" w:space="0" w:color="auto"/>
              <w:right w:val="nil"/>
            </w:tcBorders>
            <w:shd w:val="clear" w:color="auto" w:fill="auto"/>
            <w:noWrap/>
            <w:hideMark/>
          </w:tcPr>
          <w:p w14:paraId="12BDADD9" w14:textId="77777777" w:rsidR="004F1DD8" w:rsidRPr="00995AAB" w:rsidRDefault="004F1DD8" w:rsidP="004F1DD8">
            <w:pPr>
              <w:rPr>
                <w:rFonts w:ascii="Calibri" w:hAnsi="Calibri"/>
                <w:color w:val="000000"/>
                <w:sz w:val="16"/>
                <w:szCs w:val="16"/>
                <w:lang w:val="en-GB"/>
              </w:rPr>
            </w:pPr>
            <w:r w:rsidRPr="00995AAB">
              <w:rPr>
                <w:rFonts w:ascii="Calibri" w:hAnsi="Calibri"/>
                <w:color w:val="000000"/>
                <w:sz w:val="16"/>
                <w:szCs w:val="16"/>
                <w:lang w:val="en-GB"/>
              </w:rPr>
              <w:t>&gt;€50m</w:t>
            </w:r>
          </w:p>
        </w:tc>
        <w:tc>
          <w:tcPr>
            <w:tcW w:w="980" w:type="dxa"/>
            <w:tcBorders>
              <w:top w:val="nil"/>
              <w:left w:val="nil"/>
              <w:bottom w:val="single" w:sz="8" w:space="0" w:color="auto"/>
              <w:right w:val="single" w:sz="8" w:space="0" w:color="auto"/>
            </w:tcBorders>
            <w:shd w:val="clear" w:color="000000" w:fill="000000"/>
            <w:noWrap/>
            <w:hideMark/>
          </w:tcPr>
          <w:p w14:paraId="11C3282A" w14:textId="77777777" w:rsidR="004F1DD8" w:rsidRPr="00995AAB" w:rsidRDefault="004F1DD8" w:rsidP="004F1DD8">
            <w:pPr>
              <w:rPr>
                <w:rFonts w:ascii="Calibri" w:hAnsi="Calibri"/>
                <w:color w:val="000000"/>
                <w:sz w:val="16"/>
                <w:szCs w:val="16"/>
                <w:lang w:val="en-GB"/>
              </w:rPr>
            </w:pPr>
            <w:r w:rsidRPr="00995AAB">
              <w:rPr>
                <w:rFonts w:ascii="Calibri" w:hAnsi="Calibri"/>
                <w:color w:val="000000"/>
                <w:sz w:val="16"/>
                <w:szCs w:val="16"/>
                <w:lang w:val="en-GB"/>
              </w:rPr>
              <w:t> </w:t>
            </w:r>
          </w:p>
        </w:tc>
      </w:tr>
    </w:tbl>
    <w:p w14:paraId="22999F8E" w14:textId="77777777" w:rsidR="00625787" w:rsidRDefault="00625787" w:rsidP="00CB1801">
      <w:pPr>
        <w:rPr>
          <w:lang w:val="en-GB"/>
        </w:rPr>
      </w:pPr>
    </w:p>
    <w:p w14:paraId="37995CD3" w14:textId="118ADE80" w:rsidR="00FF5C88" w:rsidRDefault="00FF5C88">
      <w:pPr>
        <w:rPr>
          <w:lang w:val="en-GB"/>
        </w:rPr>
      </w:pPr>
      <w:r>
        <w:rPr>
          <w:lang w:val="en-GB"/>
        </w:rPr>
        <w:br w:type="page"/>
      </w:r>
    </w:p>
    <w:p w14:paraId="178691CB" w14:textId="3FC92B23" w:rsidR="00FF5C88" w:rsidRPr="00995AAB" w:rsidRDefault="00FF5C88" w:rsidP="00CB1801">
      <w:pPr>
        <w:rPr>
          <w:lang w:val="en-GB"/>
        </w:rPr>
      </w:pPr>
    </w:p>
    <w:p w14:paraId="7A8AD7FC" w14:textId="77777777" w:rsidR="00DF2938" w:rsidRPr="00995AAB" w:rsidRDefault="00DF2938" w:rsidP="002005D5">
      <w:pPr>
        <w:pStyle w:val="Heading3"/>
        <w:rPr>
          <w:lang w:val="en-GB"/>
        </w:rPr>
      </w:pPr>
      <w:bookmarkStart w:id="51" w:name="_Toc495562560"/>
      <w:r w:rsidRPr="00995AAB">
        <w:rPr>
          <w:lang w:val="en-GB"/>
        </w:rPr>
        <w:t>Table 4 - Article 4(b)</w:t>
      </w:r>
      <w:r w:rsidR="00EF0442" w:rsidRPr="00995AAB">
        <w:rPr>
          <w:lang w:val="en-GB"/>
        </w:rPr>
        <w:t xml:space="preserve">: </w:t>
      </w:r>
      <w:r w:rsidR="00F861A9" w:rsidRPr="00995AAB">
        <w:rPr>
          <w:lang w:val="en-GB"/>
        </w:rPr>
        <w:t>Price Information: Daily</w:t>
      </w:r>
      <w:bookmarkEnd w:id="51"/>
    </w:p>
    <w:p w14:paraId="3B8CD0BD" w14:textId="77777777" w:rsidR="00265DD1" w:rsidRPr="00995AAB" w:rsidRDefault="00265DD1" w:rsidP="00CB1801">
      <w:pPr>
        <w:pStyle w:val="Heading4"/>
        <w:rPr>
          <w:lang w:val="en-GB"/>
        </w:rPr>
      </w:pPr>
      <w:r w:rsidRPr="00995AAB">
        <w:rPr>
          <w:lang w:val="en-GB"/>
        </w:rPr>
        <w:t>Table Format</w:t>
      </w:r>
      <w:r w:rsidR="003F422E">
        <w:rPr>
          <w:lang w:val="en-GB"/>
        </w:rPr>
        <w:t xml:space="preserve"> (one table per instrument per market segment per day)</w:t>
      </w:r>
    </w:p>
    <w:tbl>
      <w:tblPr>
        <w:tblW w:w="5519" w:type="dxa"/>
        <w:tblLook w:val="04A0" w:firstRow="1" w:lastRow="0" w:firstColumn="1" w:lastColumn="0" w:noHBand="0" w:noVBand="1"/>
      </w:tblPr>
      <w:tblGrid>
        <w:gridCol w:w="3109"/>
        <w:gridCol w:w="2410"/>
      </w:tblGrid>
      <w:tr w:rsidR="004F1DD8" w:rsidRPr="00080375" w14:paraId="3D74FF6F" w14:textId="77777777" w:rsidTr="004F1DD8">
        <w:trPr>
          <w:trHeight w:val="320"/>
        </w:trPr>
        <w:tc>
          <w:tcPr>
            <w:tcW w:w="3109" w:type="dxa"/>
            <w:tcBorders>
              <w:top w:val="single" w:sz="8" w:space="0" w:color="auto"/>
              <w:left w:val="single" w:sz="8" w:space="0" w:color="auto"/>
              <w:bottom w:val="single" w:sz="4" w:space="0" w:color="auto"/>
              <w:right w:val="single" w:sz="4" w:space="0" w:color="auto"/>
            </w:tcBorders>
            <w:shd w:val="clear" w:color="000000" w:fill="D9D9D9"/>
            <w:hideMark/>
          </w:tcPr>
          <w:p w14:paraId="2430B59C" w14:textId="77777777" w:rsidR="004F1DD8" w:rsidRPr="00995AAB" w:rsidRDefault="00CB1801" w:rsidP="004F1DD8">
            <w:pPr>
              <w:rPr>
                <w:rFonts w:ascii="Calibri" w:hAnsi="Calibri"/>
                <w:color w:val="000000"/>
                <w:sz w:val="16"/>
                <w:szCs w:val="16"/>
                <w:lang w:val="en-GB"/>
              </w:rPr>
            </w:pPr>
            <w:r w:rsidRPr="00995AAB">
              <w:rPr>
                <w:rFonts w:ascii="Calibri" w:hAnsi="Calibri"/>
                <w:color w:val="000000"/>
                <w:sz w:val="16"/>
                <w:szCs w:val="16"/>
                <w:lang w:val="en-GB"/>
              </w:rPr>
              <w:t>Simple av</w:t>
            </w:r>
            <w:r w:rsidR="004F1DD8" w:rsidRPr="00995AAB">
              <w:rPr>
                <w:rFonts w:ascii="Calibri" w:hAnsi="Calibri"/>
                <w:color w:val="000000"/>
                <w:sz w:val="16"/>
                <w:szCs w:val="16"/>
                <w:lang w:val="en-GB"/>
              </w:rPr>
              <w:t>erage transaction price</w:t>
            </w:r>
          </w:p>
        </w:tc>
        <w:tc>
          <w:tcPr>
            <w:tcW w:w="2410" w:type="dxa"/>
            <w:tcBorders>
              <w:top w:val="single" w:sz="8" w:space="0" w:color="auto"/>
              <w:left w:val="nil"/>
              <w:bottom w:val="single" w:sz="4" w:space="0" w:color="auto"/>
              <w:right w:val="single" w:sz="8" w:space="0" w:color="auto"/>
            </w:tcBorders>
            <w:shd w:val="clear" w:color="auto" w:fill="auto"/>
            <w:hideMark/>
          </w:tcPr>
          <w:p w14:paraId="7BB3D811" w14:textId="77777777" w:rsidR="004F1DD8" w:rsidRPr="00995AAB" w:rsidRDefault="004F1DD8" w:rsidP="004F1DD8">
            <w:pPr>
              <w:rPr>
                <w:rFonts w:ascii="Calibri" w:hAnsi="Calibri"/>
                <w:color w:val="FF0000"/>
                <w:sz w:val="16"/>
                <w:szCs w:val="16"/>
                <w:lang w:val="en-GB"/>
              </w:rPr>
            </w:pPr>
            <w:r w:rsidRPr="00995AAB">
              <w:rPr>
                <w:rFonts w:ascii="Calibri" w:hAnsi="Calibri"/>
                <w:color w:val="FF0000"/>
                <w:sz w:val="16"/>
                <w:szCs w:val="16"/>
                <w:lang w:val="en-GB"/>
              </w:rPr>
              <w:t>4a)</w:t>
            </w:r>
          </w:p>
        </w:tc>
      </w:tr>
      <w:tr w:rsidR="004F1DD8" w:rsidRPr="00080375" w14:paraId="316ED601" w14:textId="77777777" w:rsidTr="004F1DD8">
        <w:trPr>
          <w:trHeight w:val="320"/>
        </w:trPr>
        <w:tc>
          <w:tcPr>
            <w:tcW w:w="3109" w:type="dxa"/>
            <w:tcBorders>
              <w:top w:val="nil"/>
              <w:left w:val="single" w:sz="8" w:space="0" w:color="auto"/>
              <w:bottom w:val="single" w:sz="4" w:space="0" w:color="auto"/>
              <w:right w:val="single" w:sz="4" w:space="0" w:color="auto"/>
            </w:tcBorders>
            <w:shd w:val="clear" w:color="000000" w:fill="D9D9D9"/>
            <w:hideMark/>
          </w:tcPr>
          <w:p w14:paraId="4C781785" w14:textId="77777777" w:rsidR="004F1DD8" w:rsidRPr="00995AAB" w:rsidRDefault="004F1DD8" w:rsidP="004F1DD8">
            <w:pPr>
              <w:rPr>
                <w:rFonts w:ascii="Calibri" w:hAnsi="Calibri"/>
                <w:color w:val="000000"/>
                <w:sz w:val="16"/>
                <w:szCs w:val="16"/>
                <w:lang w:val="en-GB"/>
              </w:rPr>
            </w:pPr>
            <w:r w:rsidRPr="00995AAB">
              <w:rPr>
                <w:rFonts w:ascii="Calibri" w:hAnsi="Calibri"/>
                <w:color w:val="000000"/>
                <w:sz w:val="16"/>
                <w:szCs w:val="16"/>
                <w:lang w:val="en-GB"/>
              </w:rPr>
              <w:t>volume-weighted transaction price</w:t>
            </w:r>
          </w:p>
        </w:tc>
        <w:tc>
          <w:tcPr>
            <w:tcW w:w="2410" w:type="dxa"/>
            <w:tcBorders>
              <w:top w:val="nil"/>
              <w:left w:val="nil"/>
              <w:bottom w:val="single" w:sz="4" w:space="0" w:color="auto"/>
              <w:right w:val="single" w:sz="8" w:space="0" w:color="auto"/>
            </w:tcBorders>
            <w:shd w:val="clear" w:color="auto" w:fill="auto"/>
            <w:hideMark/>
          </w:tcPr>
          <w:p w14:paraId="362B2D1F" w14:textId="77777777" w:rsidR="004F1DD8" w:rsidRPr="00995AAB" w:rsidRDefault="004F1DD8" w:rsidP="004F1DD8">
            <w:pPr>
              <w:rPr>
                <w:rFonts w:ascii="Calibri" w:hAnsi="Calibri"/>
                <w:color w:val="FF0000"/>
                <w:sz w:val="16"/>
                <w:szCs w:val="16"/>
                <w:lang w:val="en-GB"/>
              </w:rPr>
            </w:pPr>
            <w:r w:rsidRPr="00995AAB">
              <w:rPr>
                <w:rFonts w:ascii="Calibri" w:hAnsi="Calibri"/>
                <w:color w:val="FF0000"/>
                <w:sz w:val="16"/>
                <w:szCs w:val="16"/>
                <w:lang w:val="en-GB"/>
              </w:rPr>
              <w:t>4b)</w:t>
            </w:r>
          </w:p>
        </w:tc>
      </w:tr>
      <w:tr w:rsidR="004F1DD8" w:rsidRPr="00080375" w14:paraId="5F40FE6E" w14:textId="77777777" w:rsidTr="004F1DD8">
        <w:trPr>
          <w:trHeight w:val="320"/>
        </w:trPr>
        <w:tc>
          <w:tcPr>
            <w:tcW w:w="3109" w:type="dxa"/>
            <w:tcBorders>
              <w:top w:val="nil"/>
              <w:left w:val="single" w:sz="8" w:space="0" w:color="auto"/>
              <w:bottom w:val="single" w:sz="4" w:space="0" w:color="auto"/>
              <w:right w:val="single" w:sz="4" w:space="0" w:color="auto"/>
            </w:tcBorders>
            <w:shd w:val="clear" w:color="000000" w:fill="D9D9D9"/>
            <w:hideMark/>
          </w:tcPr>
          <w:p w14:paraId="0414B2BE" w14:textId="77777777" w:rsidR="004F1DD8" w:rsidRPr="00995AAB" w:rsidRDefault="004F1DD8" w:rsidP="004F1DD8">
            <w:pPr>
              <w:rPr>
                <w:rFonts w:ascii="Calibri" w:hAnsi="Calibri"/>
                <w:color w:val="000000"/>
                <w:sz w:val="16"/>
                <w:szCs w:val="16"/>
                <w:lang w:val="en-GB"/>
              </w:rPr>
            </w:pPr>
            <w:r w:rsidRPr="00995AAB">
              <w:rPr>
                <w:rFonts w:ascii="Calibri" w:hAnsi="Calibri"/>
                <w:color w:val="000000"/>
                <w:sz w:val="16"/>
                <w:szCs w:val="16"/>
                <w:lang w:val="en-GB"/>
              </w:rPr>
              <w:t>highest executed price</w:t>
            </w:r>
          </w:p>
        </w:tc>
        <w:tc>
          <w:tcPr>
            <w:tcW w:w="2410" w:type="dxa"/>
            <w:tcBorders>
              <w:top w:val="nil"/>
              <w:left w:val="nil"/>
              <w:bottom w:val="single" w:sz="4" w:space="0" w:color="auto"/>
              <w:right w:val="single" w:sz="8" w:space="0" w:color="auto"/>
            </w:tcBorders>
            <w:shd w:val="clear" w:color="auto" w:fill="auto"/>
            <w:hideMark/>
          </w:tcPr>
          <w:p w14:paraId="2919D65A" w14:textId="77777777" w:rsidR="004F1DD8" w:rsidRPr="00995AAB" w:rsidRDefault="004F1DD8" w:rsidP="004F1DD8">
            <w:pPr>
              <w:rPr>
                <w:rFonts w:ascii="Calibri" w:hAnsi="Calibri"/>
                <w:color w:val="FF0000"/>
                <w:sz w:val="16"/>
                <w:szCs w:val="16"/>
                <w:lang w:val="en-GB"/>
              </w:rPr>
            </w:pPr>
            <w:r w:rsidRPr="00995AAB">
              <w:rPr>
                <w:rFonts w:ascii="Calibri" w:hAnsi="Calibri"/>
                <w:color w:val="FF0000"/>
                <w:sz w:val="16"/>
                <w:szCs w:val="16"/>
                <w:lang w:val="en-GB"/>
              </w:rPr>
              <w:t>4c)</w:t>
            </w:r>
          </w:p>
        </w:tc>
      </w:tr>
      <w:tr w:rsidR="004F1DD8" w:rsidRPr="00080375" w14:paraId="16783E76" w14:textId="77777777" w:rsidTr="004F1DD8">
        <w:trPr>
          <w:trHeight w:val="340"/>
        </w:trPr>
        <w:tc>
          <w:tcPr>
            <w:tcW w:w="3109" w:type="dxa"/>
            <w:tcBorders>
              <w:top w:val="nil"/>
              <w:left w:val="single" w:sz="8" w:space="0" w:color="auto"/>
              <w:bottom w:val="single" w:sz="8" w:space="0" w:color="auto"/>
              <w:right w:val="single" w:sz="4" w:space="0" w:color="auto"/>
            </w:tcBorders>
            <w:shd w:val="clear" w:color="000000" w:fill="D9D9D9"/>
            <w:hideMark/>
          </w:tcPr>
          <w:p w14:paraId="5B6DA397" w14:textId="77777777" w:rsidR="004F1DD8" w:rsidRPr="00995AAB" w:rsidRDefault="004F1DD8" w:rsidP="004F1DD8">
            <w:pPr>
              <w:rPr>
                <w:rFonts w:ascii="Calibri" w:hAnsi="Calibri"/>
                <w:color w:val="000000"/>
                <w:sz w:val="16"/>
                <w:szCs w:val="16"/>
                <w:lang w:val="en-GB"/>
              </w:rPr>
            </w:pPr>
            <w:r w:rsidRPr="00995AAB">
              <w:rPr>
                <w:rFonts w:ascii="Calibri" w:hAnsi="Calibri"/>
                <w:color w:val="000000"/>
                <w:sz w:val="16"/>
                <w:szCs w:val="16"/>
                <w:lang w:val="en-GB"/>
              </w:rPr>
              <w:t>lowest executed price</w:t>
            </w:r>
          </w:p>
        </w:tc>
        <w:tc>
          <w:tcPr>
            <w:tcW w:w="2410" w:type="dxa"/>
            <w:tcBorders>
              <w:top w:val="nil"/>
              <w:left w:val="nil"/>
              <w:bottom w:val="single" w:sz="8" w:space="0" w:color="auto"/>
              <w:right w:val="single" w:sz="8" w:space="0" w:color="auto"/>
            </w:tcBorders>
            <w:shd w:val="clear" w:color="auto" w:fill="auto"/>
            <w:hideMark/>
          </w:tcPr>
          <w:p w14:paraId="1829CBB3" w14:textId="77777777" w:rsidR="004F1DD8" w:rsidRPr="00995AAB" w:rsidRDefault="004F1DD8" w:rsidP="004F1DD8">
            <w:pPr>
              <w:rPr>
                <w:rFonts w:ascii="Calibri" w:hAnsi="Calibri"/>
                <w:color w:val="FF0000"/>
                <w:sz w:val="16"/>
                <w:szCs w:val="16"/>
                <w:lang w:val="en-GB"/>
              </w:rPr>
            </w:pPr>
            <w:r w:rsidRPr="00995AAB">
              <w:rPr>
                <w:rFonts w:ascii="Calibri" w:hAnsi="Calibri"/>
                <w:color w:val="FF0000"/>
                <w:sz w:val="16"/>
                <w:szCs w:val="16"/>
                <w:lang w:val="en-GB"/>
              </w:rPr>
              <w:t>4d)</w:t>
            </w:r>
          </w:p>
        </w:tc>
      </w:tr>
    </w:tbl>
    <w:p w14:paraId="2761259C" w14:textId="2388A606" w:rsidR="00EA2BD2" w:rsidRDefault="00EA2BD2" w:rsidP="004F1DD8">
      <w:pPr>
        <w:rPr>
          <w:lang w:val="en-GB"/>
        </w:rPr>
      </w:pPr>
    </w:p>
    <w:p w14:paraId="27F77A70" w14:textId="77777777" w:rsidR="00265DD1" w:rsidRPr="00995AAB" w:rsidRDefault="00265DD1" w:rsidP="00CB1801">
      <w:pPr>
        <w:pStyle w:val="Heading4"/>
        <w:rPr>
          <w:lang w:val="en-GB"/>
        </w:rPr>
      </w:pPr>
      <w:r w:rsidRPr="00995AAB">
        <w:rPr>
          <w:lang w:val="en-GB"/>
        </w:rPr>
        <w:t>Attributes</w:t>
      </w:r>
    </w:p>
    <w:p w14:paraId="5C20EC0F" w14:textId="77777777" w:rsidR="00AD0C70" w:rsidRPr="00995AAB" w:rsidRDefault="00AD0C70" w:rsidP="00AD0C70">
      <w:pPr>
        <w:rPr>
          <w:lang w:val="en-GB"/>
        </w:rPr>
      </w:pPr>
      <w:r w:rsidRPr="00995AAB">
        <w:rPr>
          <w:lang w:val="en-GB"/>
        </w:rPr>
        <w:t>The Table is populated with the following attributes:</w:t>
      </w:r>
    </w:p>
    <w:p w14:paraId="760CDF53" w14:textId="77777777" w:rsidR="00AD0C70" w:rsidRPr="00995AAB" w:rsidRDefault="00AD0C70" w:rsidP="00AD0C70">
      <w:pPr>
        <w:rPr>
          <w:lang w:val="en-GB"/>
        </w:rPr>
      </w:pPr>
    </w:p>
    <w:p w14:paraId="66E07839" w14:textId="77777777" w:rsidR="00D754AF" w:rsidRPr="00995AAB" w:rsidRDefault="00CB1801" w:rsidP="00D754AF">
      <w:pPr>
        <w:rPr>
          <w:lang w:val="en-GB"/>
        </w:rPr>
      </w:pPr>
      <w:r w:rsidRPr="00995AAB">
        <w:rPr>
          <w:lang w:val="en-GB"/>
        </w:rPr>
        <w:t>4a)</w:t>
      </w:r>
      <w:r w:rsidRPr="00995AAB">
        <w:rPr>
          <w:lang w:val="en-GB"/>
        </w:rPr>
        <w:tab/>
        <w:t xml:space="preserve">simple average </w:t>
      </w:r>
      <w:r w:rsidR="00D754AF" w:rsidRPr="00995AAB">
        <w:rPr>
          <w:lang w:val="en-GB"/>
        </w:rPr>
        <w:t>transaction price, if more than one transaction occurred</w:t>
      </w:r>
    </w:p>
    <w:p w14:paraId="4C711353" w14:textId="77777777" w:rsidR="00D754AF" w:rsidRPr="00995AAB" w:rsidRDefault="00D754AF" w:rsidP="00D754AF">
      <w:pPr>
        <w:rPr>
          <w:lang w:val="en-GB"/>
        </w:rPr>
      </w:pPr>
      <w:r w:rsidRPr="00995AAB">
        <w:rPr>
          <w:lang w:val="en-GB"/>
        </w:rPr>
        <w:t>4b)</w:t>
      </w:r>
      <w:r w:rsidRPr="00995AAB">
        <w:rPr>
          <w:lang w:val="en-GB"/>
        </w:rPr>
        <w:tab/>
        <w:t>volume-weighted average transaction price, if more than one transaction occurred</w:t>
      </w:r>
    </w:p>
    <w:p w14:paraId="28FF3138" w14:textId="77777777" w:rsidR="00D754AF" w:rsidRPr="00995AAB" w:rsidRDefault="00D754AF" w:rsidP="00D754AF">
      <w:pPr>
        <w:rPr>
          <w:lang w:val="en-GB"/>
        </w:rPr>
      </w:pPr>
      <w:r w:rsidRPr="00995AAB">
        <w:rPr>
          <w:lang w:val="en-GB"/>
        </w:rPr>
        <w:t>4c)</w:t>
      </w:r>
      <w:r w:rsidRPr="00995AAB">
        <w:rPr>
          <w:lang w:val="en-GB"/>
        </w:rPr>
        <w:tab/>
        <w:t>highest executed price, if more than two transactions occurred</w:t>
      </w:r>
    </w:p>
    <w:p w14:paraId="610FF18E" w14:textId="77777777" w:rsidR="00443ADA" w:rsidRPr="00995AAB" w:rsidRDefault="00D754AF">
      <w:pPr>
        <w:rPr>
          <w:lang w:val="en-GB"/>
        </w:rPr>
      </w:pPr>
      <w:r w:rsidRPr="00995AAB">
        <w:rPr>
          <w:lang w:val="en-GB"/>
        </w:rPr>
        <w:t>4d)</w:t>
      </w:r>
      <w:r w:rsidRPr="00995AAB">
        <w:rPr>
          <w:lang w:val="en-GB"/>
        </w:rPr>
        <w:tab/>
        <w:t>lowest executed price, if more than two transactions occurred</w:t>
      </w:r>
    </w:p>
    <w:p w14:paraId="3BB2C7FA" w14:textId="0FEE98D8" w:rsidR="00F13BF4" w:rsidRDefault="00F13BF4">
      <w:pPr>
        <w:rPr>
          <w:lang w:val="en-GB"/>
        </w:rPr>
      </w:pPr>
      <w:r>
        <w:rPr>
          <w:lang w:val="en-GB"/>
        </w:rPr>
        <w:br w:type="page"/>
      </w:r>
    </w:p>
    <w:p w14:paraId="4F6A46F2" w14:textId="77777777" w:rsidR="00443ADA" w:rsidRPr="00995AAB" w:rsidRDefault="00443ADA" w:rsidP="00CB1801">
      <w:pPr>
        <w:rPr>
          <w:lang w:val="en-GB"/>
        </w:rPr>
      </w:pPr>
    </w:p>
    <w:p w14:paraId="54AE912B" w14:textId="77777777" w:rsidR="00DF2938" w:rsidRPr="00995AAB" w:rsidRDefault="00DF2938" w:rsidP="002005D5">
      <w:pPr>
        <w:pStyle w:val="Heading3"/>
        <w:rPr>
          <w:lang w:val="en-GB"/>
        </w:rPr>
      </w:pPr>
      <w:bookmarkStart w:id="52" w:name="_Toc495562561"/>
      <w:r w:rsidRPr="00995AAB">
        <w:rPr>
          <w:lang w:val="en-GB"/>
        </w:rPr>
        <w:t>Table 5 – Article 5</w:t>
      </w:r>
      <w:r w:rsidR="00410CF5" w:rsidRPr="00995AAB">
        <w:rPr>
          <w:lang w:val="en-GB"/>
        </w:rPr>
        <w:t>: Cost information by instrument</w:t>
      </w:r>
      <w:bookmarkEnd w:id="52"/>
    </w:p>
    <w:p w14:paraId="4804062C" w14:textId="77777777" w:rsidR="00265DD1" w:rsidRPr="00995AAB" w:rsidRDefault="00265DD1" w:rsidP="00CB1801">
      <w:pPr>
        <w:pStyle w:val="Heading4"/>
        <w:rPr>
          <w:lang w:val="en-GB"/>
        </w:rPr>
      </w:pPr>
      <w:r w:rsidRPr="00995AAB">
        <w:rPr>
          <w:lang w:val="en-GB"/>
        </w:rPr>
        <w:t>Table Format</w:t>
      </w:r>
      <w:r w:rsidR="003F422E">
        <w:rPr>
          <w:lang w:val="en-GB"/>
        </w:rPr>
        <w:t xml:space="preserve"> (one table per market segment)</w:t>
      </w:r>
    </w:p>
    <w:tbl>
      <w:tblPr>
        <w:tblW w:w="9620" w:type="dxa"/>
        <w:tblInd w:w="-15" w:type="dxa"/>
        <w:tblCellMar>
          <w:left w:w="0" w:type="dxa"/>
          <w:right w:w="0" w:type="dxa"/>
        </w:tblCellMar>
        <w:tblLook w:val="04A0" w:firstRow="1" w:lastRow="0" w:firstColumn="1" w:lastColumn="0" w:noHBand="0" w:noVBand="1"/>
      </w:tblPr>
      <w:tblGrid>
        <w:gridCol w:w="6280"/>
        <w:gridCol w:w="3340"/>
      </w:tblGrid>
      <w:tr w:rsidR="00443ADA" w:rsidRPr="00080375" w14:paraId="052C9B04" w14:textId="77777777" w:rsidTr="00443ADA">
        <w:trPr>
          <w:trHeight w:val="300"/>
        </w:trPr>
        <w:tc>
          <w:tcPr>
            <w:tcW w:w="6280"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bottom"/>
            <w:hideMark/>
          </w:tcPr>
          <w:p w14:paraId="5D6DA0DF" w14:textId="77777777" w:rsidR="00443ADA" w:rsidRPr="00080375" w:rsidRDefault="00443ADA" w:rsidP="00443ADA">
            <w:pPr>
              <w:rPr>
                <w:rFonts w:ascii="Calibri" w:eastAsia="Calibri" w:hAnsi="Calibri"/>
                <w:color w:val="000000"/>
                <w:sz w:val="22"/>
                <w:szCs w:val="22"/>
                <w:lang w:val="en-GB" w:eastAsia="en-GB"/>
              </w:rPr>
            </w:pPr>
            <w:r w:rsidRPr="00080375">
              <w:rPr>
                <w:rFonts w:ascii="Calibri" w:eastAsia="Calibri" w:hAnsi="Calibri"/>
                <w:color w:val="000000"/>
                <w:sz w:val="22"/>
                <w:szCs w:val="22"/>
                <w:lang w:val="en-GB" w:eastAsia="en-GB"/>
              </w:rPr>
              <w:t>Information required under Article 5(a) to (d)</w:t>
            </w:r>
          </w:p>
        </w:tc>
        <w:tc>
          <w:tcPr>
            <w:tcW w:w="33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1C17183" w14:textId="77777777" w:rsidR="00443ADA" w:rsidRPr="00080375" w:rsidRDefault="00443ADA" w:rsidP="00443ADA">
            <w:pPr>
              <w:rPr>
                <w:rFonts w:ascii="Calibri" w:eastAsia="Calibri" w:hAnsi="Calibri"/>
                <w:color w:val="FF0000"/>
                <w:sz w:val="22"/>
                <w:szCs w:val="22"/>
                <w:lang w:val="en-GB" w:eastAsia="en-GB"/>
              </w:rPr>
            </w:pPr>
            <w:r w:rsidRPr="00080375">
              <w:rPr>
                <w:rFonts w:ascii="Calibri" w:eastAsia="Calibri" w:hAnsi="Calibri"/>
                <w:color w:val="FF0000"/>
                <w:sz w:val="22"/>
                <w:szCs w:val="22"/>
                <w:lang w:val="en-GB" w:eastAsia="en-GB"/>
              </w:rPr>
              <w:t>5a)</w:t>
            </w:r>
            <w:r w:rsidR="00C934A9">
              <w:rPr>
                <w:rFonts w:ascii="Calibri" w:eastAsia="Calibri" w:hAnsi="Calibri"/>
                <w:color w:val="FF0000"/>
                <w:sz w:val="22"/>
                <w:szCs w:val="22"/>
                <w:lang w:val="en-GB" w:eastAsia="en-GB"/>
              </w:rPr>
              <w:t xml:space="preserve">, 5b), 5c), </w:t>
            </w:r>
            <w:r w:rsidR="00ED4091">
              <w:rPr>
                <w:rFonts w:ascii="Calibri" w:eastAsia="Calibri" w:hAnsi="Calibri"/>
                <w:color w:val="FF0000"/>
                <w:sz w:val="22"/>
                <w:szCs w:val="22"/>
                <w:lang w:val="en-GB" w:eastAsia="en-GB"/>
              </w:rPr>
              <w:t>5d)</w:t>
            </w:r>
          </w:p>
        </w:tc>
      </w:tr>
      <w:tr w:rsidR="00443ADA" w:rsidRPr="00080375" w14:paraId="0739880A" w14:textId="77777777" w:rsidTr="00443ADA">
        <w:trPr>
          <w:trHeight w:val="600"/>
        </w:trPr>
        <w:tc>
          <w:tcPr>
            <w:tcW w:w="6280"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bottom"/>
            <w:hideMark/>
          </w:tcPr>
          <w:p w14:paraId="1B439590" w14:textId="77777777" w:rsidR="00443ADA" w:rsidRPr="00080375" w:rsidRDefault="00443ADA" w:rsidP="00443ADA">
            <w:pPr>
              <w:rPr>
                <w:rFonts w:ascii="Calibri" w:eastAsia="Calibri" w:hAnsi="Calibri"/>
                <w:color w:val="5B9BD5"/>
                <w:sz w:val="22"/>
                <w:szCs w:val="22"/>
                <w:lang w:val="en-GB" w:eastAsia="en-GB"/>
              </w:rPr>
            </w:pPr>
            <w:r w:rsidRPr="00080375">
              <w:rPr>
                <w:rFonts w:ascii="Calibri" w:eastAsia="Calibri" w:hAnsi="Calibri"/>
                <w:color w:val="5B9BD5"/>
                <w:sz w:val="22"/>
                <w:szCs w:val="22"/>
                <w:lang w:val="en-GB" w:eastAsia="en-GB"/>
              </w:rPr>
              <w:t>Link to a website or other source where further information on costs is available</w:t>
            </w:r>
          </w:p>
        </w:tc>
        <w:tc>
          <w:tcPr>
            <w:tcW w:w="3340" w:type="dxa"/>
            <w:tcBorders>
              <w:top w:val="nil"/>
              <w:left w:val="nil"/>
              <w:bottom w:val="single" w:sz="8" w:space="0" w:color="auto"/>
              <w:right w:val="single" w:sz="8" w:space="0" w:color="auto"/>
            </w:tcBorders>
            <w:tcMar>
              <w:top w:w="0" w:type="dxa"/>
              <w:left w:w="108" w:type="dxa"/>
              <w:bottom w:w="0" w:type="dxa"/>
              <w:right w:w="108" w:type="dxa"/>
            </w:tcMar>
            <w:hideMark/>
          </w:tcPr>
          <w:p w14:paraId="0ACD7621" w14:textId="77777777" w:rsidR="00443ADA" w:rsidRPr="00080375" w:rsidRDefault="00443ADA" w:rsidP="00443ADA">
            <w:pPr>
              <w:rPr>
                <w:rFonts w:ascii="Calibri" w:eastAsia="Calibri" w:hAnsi="Calibri"/>
                <w:color w:val="FF0000"/>
                <w:sz w:val="22"/>
                <w:szCs w:val="22"/>
                <w:lang w:val="en-GB" w:eastAsia="en-GB"/>
              </w:rPr>
            </w:pPr>
            <w:r w:rsidRPr="00080375">
              <w:rPr>
                <w:rFonts w:ascii="Calibri" w:eastAsia="Calibri" w:hAnsi="Calibri"/>
                <w:color w:val="FF0000"/>
                <w:sz w:val="22"/>
                <w:szCs w:val="22"/>
                <w:lang w:val="en-GB" w:eastAsia="en-GB"/>
              </w:rPr>
              <w:t>5</w:t>
            </w:r>
            <w:r w:rsidR="00ED4091">
              <w:rPr>
                <w:rFonts w:ascii="Calibri" w:eastAsia="Calibri" w:hAnsi="Calibri"/>
                <w:color w:val="FF0000"/>
                <w:sz w:val="22"/>
                <w:szCs w:val="22"/>
                <w:lang w:val="en-GB" w:eastAsia="en-GB"/>
              </w:rPr>
              <w:t>e)</w:t>
            </w:r>
          </w:p>
        </w:tc>
      </w:tr>
      <w:tr w:rsidR="00443ADA" w:rsidRPr="00080375" w14:paraId="2145E14C" w14:textId="77777777" w:rsidTr="00443ADA">
        <w:trPr>
          <w:trHeight w:val="600"/>
        </w:trPr>
        <w:tc>
          <w:tcPr>
            <w:tcW w:w="6280"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bottom"/>
            <w:hideMark/>
          </w:tcPr>
          <w:p w14:paraId="45249603" w14:textId="77777777" w:rsidR="00443ADA" w:rsidRPr="00080375" w:rsidRDefault="00443ADA" w:rsidP="00443ADA">
            <w:pPr>
              <w:rPr>
                <w:rFonts w:ascii="Calibri" w:eastAsia="Calibri" w:hAnsi="Calibri"/>
                <w:color w:val="000000"/>
                <w:sz w:val="22"/>
                <w:szCs w:val="22"/>
                <w:lang w:val="en-GB" w:eastAsia="en-GB"/>
              </w:rPr>
            </w:pPr>
            <w:r w:rsidRPr="00080375">
              <w:rPr>
                <w:rFonts w:ascii="Calibri" w:eastAsia="Calibri" w:hAnsi="Calibri"/>
                <w:color w:val="000000"/>
                <w:sz w:val="22"/>
                <w:szCs w:val="22"/>
                <w:lang w:val="en-GB" w:eastAsia="en-GB"/>
              </w:rPr>
              <w:t xml:space="preserve">Total value of all rebates, discounts, or other payments offered (as % of total traded value during the reporting period) </w:t>
            </w:r>
          </w:p>
        </w:tc>
        <w:tc>
          <w:tcPr>
            <w:tcW w:w="3340" w:type="dxa"/>
            <w:tcBorders>
              <w:top w:val="nil"/>
              <w:left w:val="nil"/>
              <w:bottom w:val="single" w:sz="8" w:space="0" w:color="auto"/>
              <w:right w:val="single" w:sz="8" w:space="0" w:color="auto"/>
            </w:tcBorders>
            <w:tcMar>
              <w:top w:w="0" w:type="dxa"/>
              <w:left w:w="108" w:type="dxa"/>
              <w:bottom w:w="0" w:type="dxa"/>
              <w:right w:w="108" w:type="dxa"/>
            </w:tcMar>
            <w:hideMark/>
          </w:tcPr>
          <w:p w14:paraId="279BDBA4" w14:textId="77777777" w:rsidR="00443ADA" w:rsidRPr="00080375" w:rsidRDefault="00443ADA" w:rsidP="00443ADA">
            <w:pPr>
              <w:rPr>
                <w:rFonts w:ascii="Calibri" w:eastAsia="Calibri" w:hAnsi="Calibri"/>
                <w:color w:val="FF0000"/>
                <w:sz w:val="22"/>
                <w:szCs w:val="22"/>
                <w:lang w:val="en-GB" w:eastAsia="en-GB"/>
              </w:rPr>
            </w:pPr>
            <w:r w:rsidRPr="00080375">
              <w:rPr>
                <w:rFonts w:ascii="Calibri" w:eastAsia="Calibri" w:hAnsi="Calibri"/>
                <w:color w:val="FF0000"/>
                <w:sz w:val="22"/>
                <w:szCs w:val="22"/>
                <w:lang w:val="en-GB" w:eastAsia="en-GB"/>
              </w:rPr>
              <w:t>5</w:t>
            </w:r>
            <w:r w:rsidR="00ED4091">
              <w:rPr>
                <w:rFonts w:ascii="Calibri" w:eastAsia="Calibri" w:hAnsi="Calibri"/>
                <w:color w:val="FF0000"/>
                <w:sz w:val="22"/>
                <w:szCs w:val="22"/>
                <w:lang w:val="en-GB" w:eastAsia="en-GB"/>
              </w:rPr>
              <w:t>f)</w:t>
            </w:r>
          </w:p>
        </w:tc>
      </w:tr>
      <w:tr w:rsidR="00443ADA" w:rsidRPr="00080375" w14:paraId="1006584B" w14:textId="77777777" w:rsidTr="00995AAB">
        <w:trPr>
          <w:trHeight w:val="658"/>
        </w:trPr>
        <w:tc>
          <w:tcPr>
            <w:tcW w:w="6280"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bottom"/>
            <w:hideMark/>
          </w:tcPr>
          <w:p w14:paraId="10E0D55D" w14:textId="77777777" w:rsidR="00443ADA" w:rsidRPr="00080375" w:rsidRDefault="00443ADA" w:rsidP="00443ADA">
            <w:pPr>
              <w:rPr>
                <w:rFonts w:ascii="Calibri" w:eastAsia="Calibri" w:hAnsi="Calibri"/>
                <w:color w:val="5B9BD5"/>
                <w:sz w:val="22"/>
                <w:szCs w:val="22"/>
                <w:lang w:val="en-GB" w:eastAsia="en-GB"/>
              </w:rPr>
            </w:pPr>
            <w:r w:rsidRPr="00080375">
              <w:rPr>
                <w:rFonts w:ascii="Calibri" w:eastAsia="Calibri" w:hAnsi="Calibri"/>
                <w:color w:val="5B9BD5"/>
                <w:sz w:val="22"/>
                <w:szCs w:val="22"/>
                <w:lang w:val="en-GB" w:eastAsia="en-GB"/>
              </w:rPr>
              <w:t>Total value of all costs (as a % of total traded value during the reporting period volume)</w:t>
            </w:r>
          </w:p>
        </w:tc>
        <w:tc>
          <w:tcPr>
            <w:tcW w:w="3340" w:type="dxa"/>
            <w:tcBorders>
              <w:top w:val="nil"/>
              <w:left w:val="nil"/>
              <w:bottom w:val="single" w:sz="8" w:space="0" w:color="auto"/>
              <w:right w:val="single" w:sz="8" w:space="0" w:color="auto"/>
            </w:tcBorders>
            <w:tcMar>
              <w:top w:w="0" w:type="dxa"/>
              <w:left w:w="108" w:type="dxa"/>
              <w:bottom w:w="0" w:type="dxa"/>
              <w:right w:w="108" w:type="dxa"/>
            </w:tcMar>
            <w:hideMark/>
          </w:tcPr>
          <w:p w14:paraId="1C65FF78" w14:textId="77777777" w:rsidR="00443ADA" w:rsidRPr="00080375" w:rsidRDefault="00443ADA" w:rsidP="00443ADA">
            <w:pPr>
              <w:rPr>
                <w:rFonts w:ascii="Calibri" w:eastAsia="Calibri" w:hAnsi="Calibri"/>
                <w:color w:val="FF0000"/>
                <w:sz w:val="22"/>
                <w:szCs w:val="22"/>
                <w:lang w:val="en-GB" w:eastAsia="en-GB"/>
              </w:rPr>
            </w:pPr>
            <w:r w:rsidRPr="00080375">
              <w:rPr>
                <w:rFonts w:ascii="Calibri" w:eastAsia="Calibri" w:hAnsi="Calibri"/>
                <w:color w:val="FF0000"/>
                <w:sz w:val="22"/>
                <w:szCs w:val="22"/>
                <w:lang w:val="en-GB" w:eastAsia="en-GB"/>
              </w:rPr>
              <w:t>5</w:t>
            </w:r>
            <w:r w:rsidR="00ED4091">
              <w:rPr>
                <w:rFonts w:ascii="Calibri" w:eastAsia="Calibri" w:hAnsi="Calibri"/>
                <w:color w:val="FF0000"/>
                <w:sz w:val="22"/>
                <w:szCs w:val="22"/>
                <w:lang w:val="en-GB" w:eastAsia="en-GB"/>
              </w:rPr>
              <w:t>g</w:t>
            </w:r>
            <w:r w:rsidRPr="00080375">
              <w:rPr>
                <w:rFonts w:ascii="Calibri" w:eastAsia="Calibri" w:hAnsi="Calibri"/>
                <w:color w:val="FF0000"/>
                <w:sz w:val="22"/>
                <w:szCs w:val="22"/>
                <w:lang w:val="en-GB" w:eastAsia="en-GB"/>
              </w:rPr>
              <w:t>)</w:t>
            </w:r>
          </w:p>
        </w:tc>
      </w:tr>
    </w:tbl>
    <w:p w14:paraId="5E75E37A" w14:textId="77777777" w:rsidR="00D754AF" w:rsidRPr="00995AAB" w:rsidRDefault="00D754AF" w:rsidP="00D754AF">
      <w:pPr>
        <w:rPr>
          <w:lang w:val="en-GB"/>
        </w:rPr>
      </w:pPr>
    </w:p>
    <w:p w14:paraId="6BA49BEE" w14:textId="514F3738" w:rsidR="006E2AFA" w:rsidRPr="00995AAB" w:rsidRDefault="00543DBA" w:rsidP="006E2AFA">
      <w:pPr>
        <w:rPr>
          <w:lang w:val="en-GB"/>
        </w:rPr>
      </w:pPr>
      <w:r w:rsidRPr="00995AAB">
        <w:rPr>
          <w:lang w:val="en-GB"/>
        </w:rPr>
        <w:t>The</w:t>
      </w:r>
      <w:r w:rsidR="00F842B7">
        <w:rPr>
          <w:lang w:val="en-GB"/>
        </w:rPr>
        <w:t xml:space="preserve"> consensus opinion of the FIX</w:t>
      </w:r>
      <w:r w:rsidR="00443ADA" w:rsidRPr="00995AAB">
        <w:rPr>
          <w:lang w:val="en-GB"/>
        </w:rPr>
        <w:t xml:space="preserve"> Trading Community </w:t>
      </w:r>
      <w:r w:rsidRPr="00995AAB">
        <w:rPr>
          <w:lang w:val="en-GB"/>
        </w:rPr>
        <w:t xml:space="preserve">Best Execution Working Group is </w:t>
      </w:r>
      <w:r w:rsidR="00443ADA" w:rsidRPr="00995AAB">
        <w:rPr>
          <w:lang w:val="en-GB"/>
        </w:rPr>
        <w:t>that t</w:t>
      </w:r>
      <w:r w:rsidR="006E2AFA" w:rsidRPr="00995AAB">
        <w:rPr>
          <w:lang w:val="en-GB"/>
        </w:rPr>
        <w:t>he inclusion of all relevant costs (including clearing and settlement fees), taxes and levies within the relevant costs of execution should only include the costs applied by the Execution Venue in question</w:t>
      </w:r>
      <w:r w:rsidR="00D15FE7">
        <w:rPr>
          <w:lang w:val="en-GB"/>
        </w:rPr>
        <w:t xml:space="preserve"> as per guidance from ESMA Q&amp;A on Investor Protection,</w:t>
      </w:r>
      <w:r w:rsidR="00160B61">
        <w:rPr>
          <w:lang w:val="en-GB"/>
        </w:rPr>
        <w:t>Q9, July 10</w:t>
      </w:r>
      <w:r w:rsidR="00160B61" w:rsidRPr="00160B61">
        <w:rPr>
          <w:vertAlign w:val="superscript"/>
          <w:lang w:val="en-GB"/>
        </w:rPr>
        <w:t>th</w:t>
      </w:r>
      <w:r w:rsidR="00160B61">
        <w:rPr>
          <w:lang w:val="en-GB"/>
        </w:rPr>
        <w:t xml:space="preserve"> 2017</w:t>
      </w:r>
      <w:r w:rsidR="00D15FE7">
        <w:rPr>
          <w:rStyle w:val="FootnoteReference"/>
          <w:lang w:val="en-GB"/>
        </w:rPr>
        <w:footnoteReference w:id="2"/>
      </w:r>
      <w:r w:rsidR="006E2AFA" w:rsidRPr="00995AAB">
        <w:rPr>
          <w:lang w:val="en-GB"/>
        </w:rPr>
        <w:t xml:space="preserve">.  External costs which are not applied by the Execution Venue, such as clearing and settlement fees or taxes not associated with the Execution Venue </w:t>
      </w:r>
      <w:r w:rsidR="00DA2C76" w:rsidRPr="00995AAB">
        <w:rPr>
          <w:lang w:val="en-GB"/>
        </w:rPr>
        <w:t xml:space="preserve">in question </w:t>
      </w:r>
      <w:r w:rsidR="006E2AFA" w:rsidRPr="00995AAB">
        <w:rPr>
          <w:lang w:val="en-GB"/>
        </w:rPr>
        <w:t>should not be included.</w:t>
      </w:r>
      <w:r w:rsidR="00FF4714">
        <w:rPr>
          <w:lang w:val="en-GB"/>
        </w:rPr>
        <w:t xml:space="preserve">  </w:t>
      </w:r>
      <w:r w:rsidR="00160B61">
        <w:t xml:space="preserve">Costs are to be aggregated at a venue level – venues are expected to provide costs at a venue level and any market segment at the appropriate level. </w:t>
      </w:r>
      <w:r w:rsidR="00160B61">
        <w:rPr>
          <w:lang w:val="en-GB"/>
        </w:rPr>
        <w:t>C</w:t>
      </w:r>
      <w:r w:rsidR="00FF4714">
        <w:rPr>
          <w:lang w:val="en-GB"/>
        </w:rPr>
        <w:t>osts that are currently not available on a per instrument basis such as country specific market data</w:t>
      </w:r>
      <w:r w:rsidR="00160B61">
        <w:rPr>
          <w:lang w:val="en-GB"/>
        </w:rPr>
        <w:t xml:space="preserve"> should only be provided on a per market segment.  </w:t>
      </w:r>
    </w:p>
    <w:p w14:paraId="24FEE6C9" w14:textId="50C4DAB3" w:rsidR="006E2AFA" w:rsidRDefault="006E2AFA" w:rsidP="00D754AF">
      <w:pPr>
        <w:rPr>
          <w:lang w:val="en-GB"/>
        </w:rPr>
      </w:pPr>
    </w:p>
    <w:p w14:paraId="651A5ABD" w14:textId="21DB59A3" w:rsidR="004F62BB" w:rsidRDefault="004F62BB" w:rsidP="00D754AF">
      <w:pPr>
        <w:rPr>
          <w:lang w:val="en-GB"/>
        </w:rPr>
      </w:pPr>
    </w:p>
    <w:p w14:paraId="389D1677" w14:textId="77777777" w:rsidR="004F62BB" w:rsidRPr="00995AAB" w:rsidRDefault="004F62BB" w:rsidP="00D754AF">
      <w:pPr>
        <w:rPr>
          <w:lang w:val="en-GB"/>
        </w:rPr>
      </w:pPr>
    </w:p>
    <w:p w14:paraId="61E86118" w14:textId="77777777" w:rsidR="00265DD1" w:rsidRPr="00995AAB" w:rsidRDefault="00265DD1" w:rsidP="00CB1801">
      <w:pPr>
        <w:pStyle w:val="Heading4"/>
        <w:rPr>
          <w:lang w:val="en-GB"/>
        </w:rPr>
      </w:pPr>
      <w:r w:rsidRPr="00995AAB">
        <w:rPr>
          <w:lang w:val="en-GB"/>
        </w:rPr>
        <w:t>Attributes</w:t>
      </w:r>
    </w:p>
    <w:p w14:paraId="6E388490" w14:textId="77777777" w:rsidR="00F13BF4" w:rsidRDefault="00F13BF4" w:rsidP="00B36812">
      <w:pPr>
        <w:rPr>
          <w:lang w:val="en-GB"/>
        </w:rPr>
      </w:pPr>
    </w:p>
    <w:p w14:paraId="2AE1B8C7" w14:textId="77777777" w:rsidR="00B36812" w:rsidRPr="00995AAB" w:rsidRDefault="00AD0C70" w:rsidP="00B36812">
      <w:pPr>
        <w:rPr>
          <w:lang w:val="en-GB"/>
        </w:rPr>
      </w:pPr>
      <w:r w:rsidRPr="00995AAB">
        <w:rPr>
          <w:lang w:val="en-GB"/>
        </w:rPr>
        <w:t>The Table is populated with the following attributes:</w:t>
      </w:r>
    </w:p>
    <w:p w14:paraId="307A62B7" w14:textId="77777777" w:rsidR="00ED4091" w:rsidRDefault="00D754AF" w:rsidP="00D754AF">
      <w:pPr>
        <w:ind w:left="720" w:hanging="720"/>
        <w:rPr>
          <w:lang w:val="en-GB"/>
        </w:rPr>
      </w:pPr>
      <w:r w:rsidRPr="00995AAB">
        <w:rPr>
          <w:lang w:val="en-GB"/>
        </w:rPr>
        <w:t>5a)</w:t>
      </w:r>
      <w:r w:rsidRPr="00995AAB">
        <w:rPr>
          <w:lang w:val="en-GB"/>
        </w:rPr>
        <w:tab/>
        <w:t>Costs befor</w:t>
      </w:r>
      <w:r w:rsidR="007C731B" w:rsidRPr="00995AAB">
        <w:rPr>
          <w:lang w:val="en-GB"/>
        </w:rPr>
        <w:t>e</w:t>
      </w:r>
      <w:r w:rsidRPr="00995AAB">
        <w:rPr>
          <w:lang w:val="en-GB"/>
        </w:rPr>
        <w:t xml:space="preserve"> rebates i</w:t>
      </w:r>
      <w:r w:rsidR="007C731B" w:rsidRPr="00995AAB">
        <w:rPr>
          <w:lang w:val="en-GB"/>
        </w:rPr>
        <w:t>n</w:t>
      </w:r>
      <w:r w:rsidRPr="00995AAB">
        <w:rPr>
          <w:lang w:val="en-GB"/>
        </w:rPr>
        <w:t xml:space="preserve">cluding: </w:t>
      </w:r>
    </w:p>
    <w:p w14:paraId="6229D7B3" w14:textId="77777777" w:rsidR="00ED4091" w:rsidRDefault="00D754AF" w:rsidP="00A9410B">
      <w:pPr>
        <w:pStyle w:val="ListParagraph"/>
        <w:numPr>
          <w:ilvl w:val="0"/>
          <w:numId w:val="17"/>
        </w:numPr>
        <w:rPr>
          <w:lang w:val="en-GB"/>
        </w:rPr>
      </w:pPr>
      <w:r w:rsidRPr="00995AAB">
        <w:rPr>
          <w:lang w:val="en-GB"/>
        </w:rPr>
        <w:t xml:space="preserve">Execution Fees, </w:t>
      </w:r>
    </w:p>
    <w:p w14:paraId="7A44EA55" w14:textId="77777777" w:rsidR="00ED4091" w:rsidRDefault="00D754AF" w:rsidP="00A9410B">
      <w:pPr>
        <w:pStyle w:val="ListParagraph"/>
        <w:numPr>
          <w:ilvl w:val="0"/>
          <w:numId w:val="17"/>
        </w:numPr>
        <w:rPr>
          <w:lang w:val="en-GB"/>
        </w:rPr>
      </w:pPr>
      <w:r w:rsidRPr="00995AAB">
        <w:rPr>
          <w:lang w:val="en-GB"/>
        </w:rPr>
        <w:t xml:space="preserve">fees for submission modification or cancellation of orders or quote withdrawals, </w:t>
      </w:r>
    </w:p>
    <w:p w14:paraId="40DEA5D5" w14:textId="77777777" w:rsidR="00ED4091" w:rsidRDefault="00D754AF" w:rsidP="00A9410B">
      <w:pPr>
        <w:pStyle w:val="ListParagraph"/>
        <w:numPr>
          <w:ilvl w:val="0"/>
          <w:numId w:val="17"/>
        </w:numPr>
        <w:rPr>
          <w:lang w:val="en-GB"/>
        </w:rPr>
      </w:pPr>
      <w:r w:rsidRPr="00995AAB">
        <w:rPr>
          <w:lang w:val="en-GB"/>
        </w:rPr>
        <w:t xml:space="preserve">fees related to market data access and use of terminals, </w:t>
      </w:r>
    </w:p>
    <w:p w14:paraId="388CA609" w14:textId="77777777" w:rsidR="00ED4091" w:rsidRPr="00995AAB" w:rsidRDefault="00D754AF" w:rsidP="00A9410B">
      <w:pPr>
        <w:pStyle w:val="ListParagraph"/>
        <w:numPr>
          <w:ilvl w:val="0"/>
          <w:numId w:val="17"/>
        </w:numPr>
        <w:rPr>
          <w:lang w:val="en-GB"/>
        </w:rPr>
      </w:pPr>
      <w:r w:rsidRPr="00995AAB">
        <w:rPr>
          <w:lang w:val="en-GB"/>
        </w:rPr>
        <w:t>any clearing and settlement fees and any other fees paid to third parties involved in execution of the order</w:t>
      </w:r>
    </w:p>
    <w:p w14:paraId="06CA6FF4" w14:textId="77777777" w:rsidR="00D754AF" w:rsidRPr="00995AAB" w:rsidRDefault="00ED4091" w:rsidP="00995AAB">
      <w:pPr>
        <w:ind w:left="720" w:hanging="720"/>
        <w:rPr>
          <w:lang w:val="en-GB"/>
        </w:rPr>
      </w:pPr>
      <w:r>
        <w:rPr>
          <w:lang w:val="en-GB"/>
        </w:rPr>
        <w:t>5b)</w:t>
      </w:r>
      <w:r>
        <w:rPr>
          <w:lang w:val="en-GB"/>
        </w:rPr>
        <w:tab/>
      </w:r>
      <w:r w:rsidR="003A5F4D" w:rsidRPr="003A5F4D">
        <w:rPr>
          <w:lang w:val="en-GB"/>
        </w:rPr>
        <w:t>a description of the nature and level of any rebates, discounts or other payments offered to users of the execution venue including information on how those rebates, discounts or other payments differ according to the user or financial instrument involved and the amounts by which they differ;</w:t>
      </w:r>
    </w:p>
    <w:p w14:paraId="1F359E76" w14:textId="77777777" w:rsidR="00D754AF" w:rsidRPr="00995AAB" w:rsidRDefault="00ED4091" w:rsidP="00995AAB">
      <w:pPr>
        <w:ind w:left="720" w:hanging="720"/>
        <w:rPr>
          <w:lang w:val="en-GB"/>
        </w:rPr>
      </w:pPr>
      <w:r>
        <w:rPr>
          <w:lang w:val="en-GB"/>
        </w:rPr>
        <w:lastRenderedPageBreak/>
        <w:t>5c)</w:t>
      </w:r>
      <w:r>
        <w:rPr>
          <w:lang w:val="en-GB"/>
        </w:rPr>
        <w:tab/>
      </w:r>
      <w:r w:rsidR="003A5F4D" w:rsidRPr="003A5F4D">
        <w:rPr>
          <w:lang w:val="en-GB"/>
        </w:rPr>
        <w:t>a description of the nature and amount of any non-monetary benefits offered to users of the execution venue, including information on how those non-monetary benefits differ according to the user or financial instrument involved and the value by which they differ</w:t>
      </w:r>
    </w:p>
    <w:p w14:paraId="670CDEE5" w14:textId="77777777" w:rsidR="00D754AF" w:rsidRPr="00995AAB" w:rsidRDefault="00ED4091" w:rsidP="00995AAB">
      <w:pPr>
        <w:ind w:left="720" w:hanging="720"/>
        <w:rPr>
          <w:lang w:val="en-GB"/>
        </w:rPr>
      </w:pPr>
      <w:r>
        <w:rPr>
          <w:lang w:val="en-GB"/>
        </w:rPr>
        <w:t>5d)</w:t>
      </w:r>
      <w:r>
        <w:rPr>
          <w:lang w:val="en-GB"/>
        </w:rPr>
        <w:tab/>
      </w:r>
      <w:r w:rsidR="003A5F4D" w:rsidRPr="003A5F4D">
        <w:rPr>
          <w:lang w:val="en-GB"/>
        </w:rPr>
        <w:t>a description of the nature and level of any taxes or levies invoiced to, or incurred by the execution venue on behalf of the members or users of the venue;</w:t>
      </w:r>
    </w:p>
    <w:p w14:paraId="73CFE2B6" w14:textId="77777777" w:rsidR="003A5F4D" w:rsidRDefault="00D754AF" w:rsidP="00B36812">
      <w:pPr>
        <w:ind w:left="720" w:hanging="720"/>
        <w:rPr>
          <w:lang w:val="en-GB"/>
        </w:rPr>
      </w:pPr>
      <w:r w:rsidRPr="00995AAB">
        <w:rPr>
          <w:lang w:val="en-GB"/>
        </w:rPr>
        <w:t>5</w:t>
      </w:r>
      <w:r w:rsidR="00ED4091">
        <w:rPr>
          <w:lang w:val="en-GB"/>
        </w:rPr>
        <w:t>e</w:t>
      </w:r>
      <w:r w:rsidRPr="00995AAB">
        <w:rPr>
          <w:lang w:val="en-GB"/>
        </w:rPr>
        <w:t>)</w:t>
      </w:r>
      <w:r w:rsidRPr="00995AAB">
        <w:rPr>
          <w:lang w:val="en-GB"/>
        </w:rPr>
        <w:tab/>
      </w:r>
      <w:r w:rsidR="003A5F4D" w:rsidRPr="003A5F4D">
        <w:rPr>
          <w:lang w:val="en-GB"/>
        </w:rPr>
        <w:t>a link to the website of the venue or to another source where further information on costs is available;</w:t>
      </w:r>
    </w:p>
    <w:p w14:paraId="09395310" w14:textId="77777777" w:rsidR="00D754AF" w:rsidRPr="00995AAB" w:rsidRDefault="00D754AF" w:rsidP="00B36812">
      <w:pPr>
        <w:ind w:left="720" w:hanging="720"/>
        <w:rPr>
          <w:lang w:val="en-GB"/>
        </w:rPr>
      </w:pPr>
      <w:r w:rsidRPr="00995AAB">
        <w:rPr>
          <w:lang w:val="en-GB"/>
        </w:rPr>
        <w:t>5</w:t>
      </w:r>
      <w:r w:rsidR="00ED4091">
        <w:rPr>
          <w:lang w:val="en-GB"/>
        </w:rPr>
        <w:t>f</w:t>
      </w:r>
      <w:r w:rsidRPr="00995AAB">
        <w:rPr>
          <w:lang w:val="en-GB"/>
        </w:rPr>
        <w:t>)</w:t>
      </w:r>
      <w:r w:rsidRPr="00995AAB">
        <w:rPr>
          <w:lang w:val="en-GB"/>
        </w:rPr>
        <w:tab/>
        <w:t>total value of all costs as set out in point (a), excluding the total value of rebates and discounts, non-monetary benefits or other payment as set out in point (b) and (c) of paragraph 1, expressed as a percentage of the total traded value during the reporting period.</w:t>
      </w:r>
    </w:p>
    <w:p w14:paraId="77343280" w14:textId="77777777" w:rsidR="006405DA" w:rsidRDefault="00D754AF" w:rsidP="006841F4">
      <w:pPr>
        <w:ind w:left="720" w:hanging="720"/>
        <w:rPr>
          <w:lang w:val="en-GB"/>
        </w:rPr>
      </w:pPr>
      <w:r w:rsidRPr="00995AAB">
        <w:rPr>
          <w:lang w:val="en-GB"/>
        </w:rPr>
        <w:t>5</w:t>
      </w:r>
      <w:r w:rsidR="00ED4091">
        <w:rPr>
          <w:lang w:val="en-GB"/>
        </w:rPr>
        <w:t>g</w:t>
      </w:r>
      <w:r w:rsidRPr="00995AAB">
        <w:rPr>
          <w:lang w:val="en-GB"/>
        </w:rPr>
        <w:t>)</w:t>
      </w:r>
      <w:r w:rsidRPr="00995AAB">
        <w:rPr>
          <w:lang w:val="en-GB"/>
        </w:rPr>
        <w:tab/>
      </w:r>
      <w:r w:rsidR="003A5F4D" w:rsidRPr="003A5F4D">
        <w:rPr>
          <w:lang w:val="en-GB"/>
        </w:rPr>
        <w:t>the total value of all costs as set out in point (a), excluding the total value of rebates and discounts, non-monetary benefits or other payment as set out in points (b) and (c), expressed as a percentage of the total traded value during the reporting period</w:t>
      </w:r>
    </w:p>
    <w:p w14:paraId="2882405A" w14:textId="77777777" w:rsidR="006405DA" w:rsidRPr="00995AAB" w:rsidRDefault="006405DA" w:rsidP="00CB1801">
      <w:pPr>
        <w:ind w:left="720" w:hanging="720"/>
        <w:rPr>
          <w:lang w:val="en-GB"/>
        </w:rPr>
      </w:pPr>
    </w:p>
    <w:p w14:paraId="27EB8D3F" w14:textId="77777777" w:rsidR="00DF2938" w:rsidRPr="00995AAB" w:rsidRDefault="00DF2938" w:rsidP="002005D5">
      <w:pPr>
        <w:pStyle w:val="Heading3"/>
        <w:rPr>
          <w:lang w:val="en-GB"/>
        </w:rPr>
      </w:pPr>
      <w:bookmarkStart w:id="53" w:name="_Toc495562562"/>
      <w:r w:rsidRPr="00995AAB">
        <w:rPr>
          <w:lang w:val="en-GB"/>
        </w:rPr>
        <w:t>Table 6 – Article 6</w:t>
      </w:r>
      <w:r w:rsidR="002D5BB6" w:rsidRPr="00995AAB">
        <w:rPr>
          <w:lang w:val="en-GB"/>
        </w:rPr>
        <w:t>:</w:t>
      </w:r>
      <w:r w:rsidR="00EF0442" w:rsidRPr="00995AAB">
        <w:rPr>
          <w:lang w:val="en-GB"/>
        </w:rPr>
        <w:t xml:space="preserve"> Likelihood of Execution by instrument (daily)</w:t>
      </w:r>
      <w:bookmarkEnd w:id="53"/>
    </w:p>
    <w:p w14:paraId="1296677B" w14:textId="77777777" w:rsidR="00265DD1" w:rsidRPr="00995AAB" w:rsidRDefault="00265DD1" w:rsidP="00CB1801">
      <w:pPr>
        <w:pStyle w:val="Heading4"/>
        <w:rPr>
          <w:lang w:val="en-GB"/>
        </w:rPr>
      </w:pPr>
      <w:r w:rsidRPr="00995AAB">
        <w:rPr>
          <w:lang w:val="en-GB"/>
        </w:rPr>
        <w:t>Table Format</w:t>
      </w:r>
      <w:r w:rsidR="003F422E">
        <w:rPr>
          <w:lang w:val="en-GB"/>
        </w:rPr>
        <w:t xml:space="preserve"> (one table per instrument per market segment per day)</w:t>
      </w:r>
    </w:p>
    <w:tbl>
      <w:tblPr>
        <w:tblW w:w="7078" w:type="dxa"/>
        <w:tblLook w:val="04A0" w:firstRow="1" w:lastRow="0" w:firstColumn="1" w:lastColumn="0" w:noHBand="0" w:noVBand="1"/>
      </w:tblPr>
      <w:tblGrid>
        <w:gridCol w:w="5600"/>
        <w:gridCol w:w="1478"/>
      </w:tblGrid>
      <w:tr w:rsidR="00B32083" w:rsidRPr="00080375" w14:paraId="38F301CA" w14:textId="77777777" w:rsidTr="00B32083">
        <w:trPr>
          <w:trHeight w:val="320"/>
        </w:trPr>
        <w:tc>
          <w:tcPr>
            <w:tcW w:w="5600" w:type="dxa"/>
            <w:tcBorders>
              <w:top w:val="single" w:sz="8" w:space="0" w:color="auto"/>
              <w:left w:val="single" w:sz="8" w:space="0" w:color="auto"/>
              <w:bottom w:val="single" w:sz="4" w:space="0" w:color="auto"/>
              <w:right w:val="single" w:sz="4" w:space="0" w:color="auto"/>
            </w:tcBorders>
            <w:shd w:val="clear" w:color="000000" w:fill="D9D9D9"/>
            <w:hideMark/>
          </w:tcPr>
          <w:p w14:paraId="2F0C9900" w14:textId="77777777" w:rsidR="00B32083" w:rsidRPr="00995AAB" w:rsidRDefault="00B32083" w:rsidP="00B32083">
            <w:pPr>
              <w:rPr>
                <w:rFonts w:ascii="Calibri" w:hAnsi="Calibri"/>
                <w:color w:val="000000"/>
                <w:sz w:val="16"/>
                <w:szCs w:val="16"/>
                <w:lang w:val="en-GB"/>
              </w:rPr>
            </w:pPr>
            <w:r w:rsidRPr="00995AAB">
              <w:rPr>
                <w:rFonts w:ascii="Calibri" w:hAnsi="Calibri"/>
                <w:color w:val="000000"/>
                <w:sz w:val="16"/>
                <w:szCs w:val="16"/>
                <w:lang w:val="en-GB"/>
              </w:rPr>
              <w:t>Number of orders or request for quotes received</w:t>
            </w:r>
          </w:p>
        </w:tc>
        <w:tc>
          <w:tcPr>
            <w:tcW w:w="1478" w:type="dxa"/>
            <w:tcBorders>
              <w:top w:val="single" w:sz="8" w:space="0" w:color="auto"/>
              <w:left w:val="nil"/>
              <w:bottom w:val="single" w:sz="4" w:space="0" w:color="auto"/>
              <w:right w:val="single" w:sz="8" w:space="0" w:color="auto"/>
            </w:tcBorders>
            <w:shd w:val="clear" w:color="auto" w:fill="auto"/>
            <w:hideMark/>
          </w:tcPr>
          <w:p w14:paraId="11565B23" w14:textId="77777777" w:rsidR="00B32083" w:rsidRPr="00995AAB" w:rsidRDefault="00B32083" w:rsidP="00B32083">
            <w:pPr>
              <w:rPr>
                <w:rFonts w:ascii="Calibri" w:hAnsi="Calibri"/>
                <w:color w:val="FF0000"/>
                <w:sz w:val="16"/>
                <w:szCs w:val="16"/>
                <w:lang w:val="en-GB"/>
              </w:rPr>
            </w:pPr>
            <w:r w:rsidRPr="00995AAB">
              <w:rPr>
                <w:rFonts w:ascii="Calibri" w:hAnsi="Calibri"/>
                <w:color w:val="FF0000"/>
                <w:sz w:val="16"/>
                <w:szCs w:val="16"/>
                <w:lang w:val="en-GB"/>
              </w:rPr>
              <w:t>6a)</w:t>
            </w:r>
          </w:p>
        </w:tc>
      </w:tr>
      <w:tr w:rsidR="00B32083" w:rsidRPr="00080375" w14:paraId="2DA00B2E" w14:textId="77777777" w:rsidTr="00B32083">
        <w:trPr>
          <w:trHeight w:val="320"/>
        </w:trPr>
        <w:tc>
          <w:tcPr>
            <w:tcW w:w="5600" w:type="dxa"/>
            <w:tcBorders>
              <w:top w:val="nil"/>
              <w:left w:val="single" w:sz="8" w:space="0" w:color="auto"/>
              <w:bottom w:val="single" w:sz="4" w:space="0" w:color="auto"/>
              <w:right w:val="single" w:sz="4" w:space="0" w:color="auto"/>
            </w:tcBorders>
            <w:shd w:val="clear" w:color="000000" w:fill="D9D9D9"/>
            <w:hideMark/>
          </w:tcPr>
          <w:p w14:paraId="5D988570" w14:textId="77777777" w:rsidR="00B32083" w:rsidRPr="00995AAB" w:rsidRDefault="00B32083" w:rsidP="00B32083">
            <w:pPr>
              <w:rPr>
                <w:rFonts w:ascii="Calibri" w:hAnsi="Calibri"/>
                <w:color w:val="000000"/>
                <w:sz w:val="16"/>
                <w:szCs w:val="16"/>
                <w:lang w:val="en-GB"/>
              </w:rPr>
            </w:pPr>
            <w:r w:rsidRPr="00995AAB">
              <w:rPr>
                <w:rFonts w:ascii="Calibri" w:hAnsi="Calibri"/>
                <w:color w:val="000000"/>
                <w:sz w:val="16"/>
                <w:szCs w:val="16"/>
                <w:lang w:val="en-GB"/>
              </w:rPr>
              <w:t>Number of transactions executed</w:t>
            </w:r>
          </w:p>
        </w:tc>
        <w:tc>
          <w:tcPr>
            <w:tcW w:w="1478" w:type="dxa"/>
            <w:tcBorders>
              <w:top w:val="nil"/>
              <w:left w:val="nil"/>
              <w:bottom w:val="single" w:sz="4" w:space="0" w:color="auto"/>
              <w:right w:val="single" w:sz="8" w:space="0" w:color="auto"/>
            </w:tcBorders>
            <w:shd w:val="clear" w:color="auto" w:fill="auto"/>
            <w:hideMark/>
          </w:tcPr>
          <w:p w14:paraId="3F43F879" w14:textId="77777777" w:rsidR="00B32083" w:rsidRPr="00995AAB" w:rsidRDefault="00B32083" w:rsidP="00B32083">
            <w:pPr>
              <w:rPr>
                <w:rFonts w:ascii="Calibri" w:hAnsi="Calibri"/>
                <w:color w:val="FF0000"/>
                <w:sz w:val="16"/>
                <w:szCs w:val="16"/>
                <w:lang w:val="en-GB"/>
              </w:rPr>
            </w:pPr>
            <w:r w:rsidRPr="00995AAB">
              <w:rPr>
                <w:rFonts w:ascii="Calibri" w:hAnsi="Calibri"/>
                <w:color w:val="FF0000"/>
                <w:sz w:val="16"/>
                <w:szCs w:val="16"/>
                <w:lang w:val="en-GB"/>
              </w:rPr>
              <w:t>6b)</w:t>
            </w:r>
          </w:p>
        </w:tc>
      </w:tr>
      <w:tr w:rsidR="00B32083" w:rsidRPr="00080375" w14:paraId="2FA0F76B" w14:textId="77777777" w:rsidTr="00B32083">
        <w:trPr>
          <w:trHeight w:val="320"/>
        </w:trPr>
        <w:tc>
          <w:tcPr>
            <w:tcW w:w="5600" w:type="dxa"/>
            <w:tcBorders>
              <w:top w:val="nil"/>
              <w:left w:val="single" w:sz="8" w:space="0" w:color="auto"/>
              <w:bottom w:val="single" w:sz="4" w:space="0" w:color="auto"/>
              <w:right w:val="single" w:sz="4" w:space="0" w:color="auto"/>
            </w:tcBorders>
            <w:shd w:val="clear" w:color="000000" w:fill="D9D9D9"/>
            <w:hideMark/>
          </w:tcPr>
          <w:p w14:paraId="6FD9B9A7" w14:textId="77777777" w:rsidR="00B32083" w:rsidRPr="00995AAB" w:rsidRDefault="00B32083" w:rsidP="00B32083">
            <w:pPr>
              <w:rPr>
                <w:rFonts w:ascii="Calibri" w:hAnsi="Calibri"/>
                <w:color w:val="000000"/>
                <w:sz w:val="16"/>
                <w:szCs w:val="16"/>
                <w:lang w:val="en-GB"/>
              </w:rPr>
            </w:pPr>
            <w:r w:rsidRPr="00995AAB">
              <w:rPr>
                <w:rFonts w:ascii="Calibri" w:hAnsi="Calibri"/>
                <w:color w:val="000000"/>
                <w:sz w:val="16"/>
                <w:szCs w:val="16"/>
                <w:lang w:val="en-GB"/>
              </w:rPr>
              <w:t>Total value of transactions executed</w:t>
            </w:r>
          </w:p>
        </w:tc>
        <w:tc>
          <w:tcPr>
            <w:tcW w:w="1478" w:type="dxa"/>
            <w:tcBorders>
              <w:top w:val="nil"/>
              <w:left w:val="nil"/>
              <w:bottom w:val="single" w:sz="4" w:space="0" w:color="auto"/>
              <w:right w:val="single" w:sz="8" w:space="0" w:color="auto"/>
            </w:tcBorders>
            <w:shd w:val="clear" w:color="auto" w:fill="auto"/>
            <w:hideMark/>
          </w:tcPr>
          <w:p w14:paraId="0EB4229F" w14:textId="77777777" w:rsidR="00B32083" w:rsidRPr="00995AAB" w:rsidRDefault="00B32083" w:rsidP="00B32083">
            <w:pPr>
              <w:rPr>
                <w:rFonts w:ascii="Calibri" w:hAnsi="Calibri"/>
                <w:color w:val="FF0000"/>
                <w:sz w:val="16"/>
                <w:szCs w:val="16"/>
                <w:lang w:val="en-GB"/>
              </w:rPr>
            </w:pPr>
            <w:r w:rsidRPr="00995AAB">
              <w:rPr>
                <w:rFonts w:ascii="Calibri" w:hAnsi="Calibri"/>
                <w:color w:val="FF0000"/>
                <w:sz w:val="16"/>
                <w:szCs w:val="16"/>
                <w:lang w:val="en-GB"/>
              </w:rPr>
              <w:t>6c)</w:t>
            </w:r>
          </w:p>
        </w:tc>
      </w:tr>
      <w:tr w:rsidR="00B32083" w:rsidRPr="00080375" w14:paraId="45CD05CF" w14:textId="77777777" w:rsidTr="00B32083">
        <w:trPr>
          <w:trHeight w:val="276"/>
        </w:trPr>
        <w:tc>
          <w:tcPr>
            <w:tcW w:w="5600" w:type="dxa"/>
            <w:tcBorders>
              <w:top w:val="nil"/>
              <w:left w:val="single" w:sz="8" w:space="0" w:color="auto"/>
              <w:bottom w:val="single" w:sz="4" w:space="0" w:color="auto"/>
              <w:right w:val="single" w:sz="4" w:space="0" w:color="auto"/>
            </w:tcBorders>
            <w:shd w:val="clear" w:color="000000" w:fill="D9D9D9"/>
            <w:hideMark/>
          </w:tcPr>
          <w:p w14:paraId="4D408C8D" w14:textId="77777777" w:rsidR="00B32083" w:rsidRPr="00995AAB" w:rsidRDefault="00B32083" w:rsidP="00B32083">
            <w:pPr>
              <w:rPr>
                <w:rFonts w:ascii="Calibri" w:hAnsi="Calibri"/>
                <w:color w:val="000000"/>
                <w:sz w:val="16"/>
                <w:szCs w:val="16"/>
                <w:lang w:val="en-GB"/>
              </w:rPr>
            </w:pPr>
            <w:r w:rsidRPr="00995AAB">
              <w:rPr>
                <w:rFonts w:ascii="Calibri" w:hAnsi="Calibri"/>
                <w:color w:val="000000"/>
                <w:sz w:val="16"/>
                <w:szCs w:val="16"/>
                <w:lang w:val="en-GB"/>
              </w:rPr>
              <w:t>Number of orders or request for quotes received cancelled or withdrawn</w:t>
            </w:r>
          </w:p>
        </w:tc>
        <w:tc>
          <w:tcPr>
            <w:tcW w:w="1478" w:type="dxa"/>
            <w:tcBorders>
              <w:top w:val="nil"/>
              <w:left w:val="nil"/>
              <w:bottom w:val="single" w:sz="4" w:space="0" w:color="auto"/>
              <w:right w:val="single" w:sz="8" w:space="0" w:color="auto"/>
            </w:tcBorders>
            <w:shd w:val="clear" w:color="auto" w:fill="auto"/>
            <w:hideMark/>
          </w:tcPr>
          <w:p w14:paraId="405CDE68" w14:textId="77777777" w:rsidR="00B32083" w:rsidRPr="00995AAB" w:rsidRDefault="00B32083" w:rsidP="00B32083">
            <w:pPr>
              <w:rPr>
                <w:rFonts w:ascii="Calibri" w:hAnsi="Calibri"/>
                <w:color w:val="FF0000"/>
                <w:sz w:val="16"/>
                <w:szCs w:val="16"/>
                <w:lang w:val="en-GB"/>
              </w:rPr>
            </w:pPr>
            <w:r w:rsidRPr="00995AAB">
              <w:rPr>
                <w:rFonts w:ascii="Calibri" w:hAnsi="Calibri"/>
                <w:color w:val="FF0000"/>
                <w:sz w:val="16"/>
                <w:szCs w:val="16"/>
                <w:lang w:val="en-GB"/>
              </w:rPr>
              <w:t>6d)</w:t>
            </w:r>
          </w:p>
        </w:tc>
      </w:tr>
      <w:tr w:rsidR="00B32083" w:rsidRPr="00080375" w14:paraId="7A39C4EB" w14:textId="77777777" w:rsidTr="00B32083">
        <w:trPr>
          <w:trHeight w:val="291"/>
        </w:trPr>
        <w:tc>
          <w:tcPr>
            <w:tcW w:w="5600" w:type="dxa"/>
            <w:tcBorders>
              <w:top w:val="nil"/>
              <w:left w:val="single" w:sz="8" w:space="0" w:color="auto"/>
              <w:bottom w:val="single" w:sz="4" w:space="0" w:color="auto"/>
              <w:right w:val="single" w:sz="4" w:space="0" w:color="auto"/>
            </w:tcBorders>
            <w:shd w:val="clear" w:color="000000" w:fill="D9D9D9"/>
            <w:hideMark/>
          </w:tcPr>
          <w:p w14:paraId="6564C1B8" w14:textId="77777777" w:rsidR="00B32083" w:rsidRPr="00995AAB" w:rsidRDefault="00B32083" w:rsidP="00B32083">
            <w:pPr>
              <w:rPr>
                <w:rFonts w:ascii="Calibri" w:hAnsi="Calibri"/>
                <w:color w:val="000000"/>
                <w:sz w:val="16"/>
                <w:szCs w:val="16"/>
                <w:lang w:val="en-GB"/>
              </w:rPr>
            </w:pPr>
            <w:r w:rsidRPr="00995AAB">
              <w:rPr>
                <w:rFonts w:ascii="Calibri" w:hAnsi="Calibri"/>
                <w:color w:val="000000"/>
                <w:sz w:val="16"/>
                <w:szCs w:val="16"/>
                <w:lang w:val="en-GB"/>
              </w:rPr>
              <w:t>Number of orders or request for quotes received modified</w:t>
            </w:r>
          </w:p>
        </w:tc>
        <w:tc>
          <w:tcPr>
            <w:tcW w:w="1478" w:type="dxa"/>
            <w:tcBorders>
              <w:top w:val="nil"/>
              <w:left w:val="nil"/>
              <w:bottom w:val="single" w:sz="4" w:space="0" w:color="auto"/>
              <w:right w:val="single" w:sz="8" w:space="0" w:color="auto"/>
            </w:tcBorders>
            <w:shd w:val="clear" w:color="auto" w:fill="auto"/>
            <w:hideMark/>
          </w:tcPr>
          <w:p w14:paraId="6568A2C8" w14:textId="77777777" w:rsidR="00B32083" w:rsidRPr="00995AAB" w:rsidRDefault="00B32083" w:rsidP="00B32083">
            <w:pPr>
              <w:rPr>
                <w:rFonts w:ascii="Calibri" w:hAnsi="Calibri"/>
                <w:color w:val="FF0000"/>
                <w:sz w:val="16"/>
                <w:szCs w:val="16"/>
                <w:lang w:val="en-GB"/>
              </w:rPr>
            </w:pPr>
            <w:r w:rsidRPr="00995AAB">
              <w:rPr>
                <w:rFonts w:ascii="Calibri" w:hAnsi="Calibri"/>
                <w:color w:val="FF0000"/>
                <w:sz w:val="16"/>
                <w:szCs w:val="16"/>
                <w:lang w:val="en-GB"/>
              </w:rPr>
              <w:t>6e)</w:t>
            </w:r>
          </w:p>
        </w:tc>
      </w:tr>
      <w:tr w:rsidR="00B32083" w:rsidRPr="00080375" w14:paraId="1BEBF42F" w14:textId="77777777" w:rsidTr="00B32083">
        <w:trPr>
          <w:trHeight w:val="320"/>
        </w:trPr>
        <w:tc>
          <w:tcPr>
            <w:tcW w:w="5600" w:type="dxa"/>
            <w:tcBorders>
              <w:top w:val="nil"/>
              <w:left w:val="single" w:sz="8" w:space="0" w:color="auto"/>
              <w:bottom w:val="single" w:sz="4" w:space="0" w:color="auto"/>
              <w:right w:val="single" w:sz="4" w:space="0" w:color="auto"/>
            </w:tcBorders>
            <w:shd w:val="clear" w:color="000000" w:fill="D9D9D9"/>
            <w:hideMark/>
          </w:tcPr>
          <w:p w14:paraId="15446BA7" w14:textId="77777777" w:rsidR="00B32083" w:rsidRPr="00995AAB" w:rsidRDefault="00B32083" w:rsidP="00B32083">
            <w:pPr>
              <w:rPr>
                <w:rFonts w:ascii="Calibri" w:hAnsi="Calibri"/>
                <w:color w:val="000000"/>
                <w:sz w:val="16"/>
                <w:szCs w:val="16"/>
                <w:lang w:val="en-GB"/>
              </w:rPr>
            </w:pPr>
            <w:r w:rsidRPr="00995AAB">
              <w:rPr>
                <w:rFonts w:ascii="Calibri" w:hAnsi="Calibri"/>
                <w:color w:val="000000"/>
                <w:sz w:val="16"/>
                <w:szCs w:val="16"/>
                <w:lang w:val="en-GB"/>
              </w:rPr>
              <w:t>Median transaction size</w:t>
            </w:r>
          </w:p>
        </w:tc>
        <w:tc>
          <w:tcPr>
            <w:tcW w:w="1478" w:type="dxa"/>
            <w:tcBorders>
              <w:top w:val="nil"/>
              <w:left w:val="nil"/>
              <w:bottom w:val="single" w:sz="4" w:space="0" w:color="auto"/>
              <w:right w:val="single" w:sz="8" w:space="0" w:color="auto"/>
            </w:tcBorders>
            <w:shd w:val="clear" w:color="auto" w:fill="auto"/>
            <w:hideMark/>
          </w:tcPr>
          <w:p w14:paraId="7CE297F1" w14:textId="77777777" w:rsidR="00B32083" w:rsidRPr="00995AAB" w:rsidRDefault="00B32083" w:rsidP="00B32083">
            <w:pPr>
              <w:rPr>
                <w:rFonts w:ascii="Calibri" w:hAnsi="Calibri"/>
                <w:color w:val="FF0000"/>
                <w:sz w:val="16"/>
                <w:szCs w:val="16"/>
                <w:lang w:val="en-GB"/>
              </w:rPr>
            </w:pPr>
            <w:r w:rsidRPr="00995AAB">
              <w:rPr>
                <w:rFonts w:ascii="Calibri" w:hAnsi="Calibri"/>
                <w:color w:val="FF0000"/>
                <w:sz w:val="16"/>
                <w:szCs w:val="16"/>
                <w:lang w:val="en-GB"/>
              </w:rPr>
              <w:t>6f)</w:t>
            </w:r>
          </w:p>
        </w:tc>
      </w:tr>
      <w:tr w:rsidR="00B32083" w:rsidRPr="00080375" w14:paraId="629096C8" w14:textId="77777777" w:rsidTr="00B32083">
        <w:trPr>
          <w:trHeight w:val="320"/>
        </w:trPr>
        <w:tc>
          <w:tcPr>
            <w:tcW w:w="5600" w:type="dxa"/>
            <w:tcBorders>
              <w:top w:val="nil"/>
              <w:left w:val="single" w:sz="8" w:space="0" w:color="auto"/>
              <w:bottom w:val="single" w:sz="4" w:space="0" w:color="auto"/>
              <w:right w:val="single" w:sz="4" w:space="0" w:color="auto"/>
            </w:tcBorders>
            <w:shd w:val="clear" w:color="000000" w:fill="D9D9D9"/>
            <w:hideMark/>
          </w:tcPr>
          <w:p w14:paraId="46037DD3" w14:textId="77777777" w:rsidR="00B32083" w:rsidRPr="00995AAB" w:rsidRDefault="00B32083" w:rsidP="00B32083">
            <w:pPr>
              <w:rPr>
                <w:rFonts w:ascii="Calibri" w:hAnsi="Calibri"/>
                <w:color w:val="000000"/>
                <w:sz w:val="16"/>
                <w:szCs w:val="16"/>
                <w:lang w:val="en-GB"/>
              </w:rPr>
            </w:pPr>
            <w:r w:rsidRPr="00995AAB">
              <w:rPr>
                <w:rFonts w:ascii="Calibri" w:hAnsi="Calibri"/>
                <w:color w:val="000000"/>
                <w:sz w:val="16"/>
                <w:szCs w:val="16"/>
                <w:lang w:val="en-GB"/>
              </w:rPr>
              <w:t>Median size of all orders or request for quotes</w:t>
            </w:r>
          </w:p>
        </w:tc>
        <w:tc>
          <w:tcPr>
            <w:tcW w:w="1478" w:type="dxa"/>
            <w:tcBorders>
              <w:top w:val="nil"/>
              <w:left w:val="nil"/>
              <w:bottom w:val="single" w:sz="4" w:space="0" w:color="auto"/>
              <w:right w:val="single" w:sz="8" w:space="0" w:color="auto"/>
            </w:tcBorders>
            <w:shd w:val="clear" w:color="auto" w:fill="auto"/>
            <w:hideMark/>
          </w:tcPr>
          <w:p w14:paraId="0EFEDDD3" w14:textId="77777777" w:rsidR="00B32083" w:rsidRPr="00995AAB" w:rsidRDefault="00B32083" w:rsidP="00B32083">
            <w:pPr>
              <w:rPr>
                <w:rFonts w:ascii="Calibri" w:hAnsi="Calibri"/>
                <w:color w:val="FF0000"/>
                <w:sz w:val="16"/>
                <w:szCs w:val="16"/>
                <w:lang w:val="en-GB"/>
              </w:rPr>
            </w:pPr>
            <w:r w:rsidRPr="00995AAB">
              <w:rPr>
                <w:rFonts w:ascii="Calibri" w:hAnsi="Calibri"/>
                <w:color w:val="FF0000"/>
                <w:sz w:val="16"/>
                <w:szCs w:val="16"/>
                <w:lang w:val="en-GB"/>
              </w:rPr>
              <w:t>6g)</w:t>
            </w:r>
          </w:p>
        </w:tc>
      </w:tr>
      <w:tr w:rsidR="00B32083" w:rsidRPr="00080375" w14:paraId="651ADF7B" w14:textId="77777777" w:rsidTr="00B32083">
        <w:trPr>
          <w:trHeight w:val="340"/>
        </w:trPr>
        <w:tc>
          <w:tcPr>
            <w:tcW w:w="5600" w:type="dxa"/>
            <w:tcBorders>
              <w:top w:val="nil"/>
              <w:left w:val="single" w:sz="8" w:space="0" w:color="auto"/>
              <w:bottom w:val="single" w:sz="8" w:space="0" w:color="auto"/>
              <w:right w:val="single" w:sz="4" w:space="0" w:color="auto"/>
            </w:tcBorders>
            <w:shd w:val="clear" w:color="000000" w:fill="D9D9D9"/>
            <w:hideMark/>
          </w:tcPr>
          <w:p w14:paraId="5FF55A29" w14:textId="77777777" w:rsidR="00B32083" w:rsidRPr="00995AAB" w:rsidRDefault="00B32083" w:rsidP="00B32083">
            <w:pPr>
              <w:rPr>
                <w:rFonts w:ascii="Calibri" w:hAnsi="Calibri"/>
                <w:color w:val="000000"/>
                <w:sz w:val="16"/>
                <w:szCs w:val="16"/>
                <w:lang w:val="en-GB"/>
              </w:rPr>
            </w:pPr>
            <w:r w:rsidRPr="00995AAB">
              <w:rPr>
                <w:rFonts w:ascii="Calibri" w:hAnsi="Calibri"/>
                <w:color w:val="000000"/>
                <w:sz w:val="16"/>
                <w:szCs w:val="16"/>
                <w:lang w:val="en-GB"/>
              </w:rPr>
              <w:t xml:space="preserve">number of </w:t>
            </w:r>
            <w:r w:rsidR="00543DBA" w:rsidRPr="00995AAB">
              <w:rPr>
                <w:rFonts w:ascii="Calibri" w:hAnsi="Calibri"/>
                <w:color w:val="000000"/>
                <w:sz w:val="16"/>
                <w:szCs w:val="16"/>
                <w:lang w:val="en-GB"/>
              </w:rPr>
              <w:t>designated</w:t>
            </w:r>
            <w:r w:rsidRPr="00995AAB">
              <w:rPr>
                <w:rFonts w:ascii="Calibri" w:hAnsi="Calibri"/>
                <w:color w:val="000000"/>
                <w:sz w:val="16"/>
                <w:szCs w:val="16"/>
                <w:lang w:val="en-GB"/>
              </w:rPr>
              <w:t xml:space="preserve"> market makers</w:t>
            </w:r>
          </w:p>
        </w:tc>
        <w:tc>
          <w:tcPr>
            <w:tcW w:w="1478" w:type="dxa"/>
            <w:tcBorders>
              <w:top w:val="nil"/>
              <w:left w:val="nil"/>
              <w:bottom w:val="single" w:sz="8" w:space="0" w:color="auto"/>
              <w:right w:val="single" w:sz="8" w:space="0" w:color="auto"/>
            </w:tcBorders>
            <w:shd w:val="clear" w:color="auto" w:fill="auto"/>
            <w:hideMark/>
          </w:tcPr>
          <w:p w14:paraId="6290B920" w14:textId="77777777" w:rsidR="00B32083" w:rsidRPr="00995AAB" w:rsidRDefault="00B32083" w:rsidP="00B32083">
            <w:pPr>
              <w:rPr>
                <w:rFonts w:ascii="Calibri" w:hAnsi="Calibri"/>
                <w:color w:val="FF0000"/>
                <w:sz w:val="16"/>
                <w:szCs w:val="16"/>
                <w:lang w:val="en-GB"/>
              </w:rPr>
            </w:pPr>
            <w:r w:rsidRPr="00995AAB">
              <w:rPr>
                <w:rFonts w:ascii="Calibri" w:hAnsi="Calibri"/>
                <w:color w:val="FF0000"/>
                <w:sz w:val="16"/>
                <w:szCs w:val="16"/>
                <w:lang w:val="en-GB"/>
              </w:rPr>
              <w:t>6h)</w:t>
            </w:r>
          </w:p>
        </w:tc>
      </w:tr>
    </w:tbl>
    <w:p w14:paraId="52FC703D" w14:textId="77777777" w:rsidR="00CB1801" w:rsidRPr="00995AAB" w:rsidRDefault="00CB1801" w:rsidP="00CB1801">
      <w:pPr>
        <w:rPr>
          <w:lang w:val="en-GB"/>
        </w:rPr>
      </w:pPr>
    </w:p>
    <w:p w14:paraId="396AA5FC" w14:textId="2AA0DC47" w:rsidR="004E1B68" w:rsidRDefault="00543DBA" w:rsidP="00CB1801">
      <w:pPr>
        <w:rPr>
          <w:lang w:val="en-GB"/>
        </w:rPr>
      </w:pPr>
      <w:r w:rsidRPr="00995AAB">
        <w:rPr>
          <w:szCs w:val="20"/>
          <w:lang w:val="en-GB"/>
        </w:rPr>
        <w:t xml:space="preserve">Each trading venue and systematic internaliser is required to publish for each financial instrument subject </w:t>
      </w:r>
      <w:r w:rsidRPr="00995AAB">
        <w:rPr>
          <w:rFonts w:cs="Arial"/>
          <w:szCs w:val="20"/>
          <w:lang w:val="en-GB"/>
        </w:rPr>
        <w:t xml:space="preserve">to the trading obligation in </w:t>
      </w:r>
      <w:r w:rsidR="00E6723D" w:rsidRPr="00080375">
        <w:rPr>
          <w:rFonts w:cs="Arial"/>
          <w:color w:val="191919"/>
          <w:szCs w:val="20"/>
          <w:lang w:val="en-GB"/>
        </w:rPr>
        <w:t xml:space="preserve">Article 23(1) </w:t>
      </w:r>
      <w:r w:rsidRPr="00995AAB">
        <w:rPr>
          <w:rFonts w:cs="Arial"/>
          <w:szCs w:val="20"/>
          <w:lang w:val="en-GB"/>
        </w:rPr>
        <w:t>and 28 of Regulation (EU) No 600/2014 and for each market</w:t>
      </w:r>
      <w:r w:rsidRPr="00995AAB">
        <w:rPr>
          <w:szCs w:val="20"/>
          <w:lang w:val="en-GB"/>
        </w:rPr>
        <w:t xml:space="preserve"> segment it operates, information as regards likelihood of execution for each trading day.  </w:t>
      </w:r>
      <w:r w:rsidR="00F842B7">
        <w:rPr>
          <w:lang w:val="en-GB"/>
        </w:rPr>
        <w:t>The consensus opinion of the FIX</w:t>
      </w:r>
      <w:r w:rsidRPr="00995AAB">
        <w:rPr>
          <w:lang w:val="en-GB"/>
        </w:rPr>
        <w:t xml:space="preserve"> Trading Community Best Execution Working Group </w:t>
      </w:r>
      <w:r w:rsidRPr="00995AAB">
        <w:rPr>
          <w:szCs w:val="20"/>
          <w:lang w:val="en-GB"/>
        </w:rPr>
        <w:t>is that t</w:t>
      </w:r>
      <w:r w:rsidR="00D35183" w:rsidRPr="00995AAB">
        <w:rPr>
          <w:lang w:val="en-GB"/>
        </w:rPr>
        <w:t xml:space="preserve">he requirement to include the number of orders or request for quotes which may be cancelled or withdrawn is included to provide an overall picture as to the quality of the venue in terms of execution capability based on actual data captured by the execution venue in question.  This is to enable users of the venue to establish the likelihood of execution on the type of venue in question and is not to provide a comparison of different execution models. </w:t>
      </w:r>
    </w:p>
    <w:p w14:paraId="6B81CC27" w14:textId="77777777" w:rsidR="004F62BB" w:rsidRPr="00995AAB" w:rsidRDefault="004F62BB" w:rsidP="00CB1801">
      <w:pPr>
        <w:rPr>
          <w:lang w:val="en-GB"/>
        </w:rPr>
      </w:pPr>
    </w:p>
    <w:p w14:paraId="4B6E7582" w14:textId="77777777" w:rsidR="00265DD1" w:rsidRPr="00995AAB" w:rsidRDefault="00265DD1" w:rsidP="00CB1801">
      <w:pPr>
        <w:pStyle w:val="Heading4"/>
        <w:rPr>
          <w:lang w:val="en-GB"/>
        </w:rPr>
      </w:pPr>
      <w:r w:rsidRPr="00995AAB">
        <w:rPr>
          <w:lang w:val="en-GB"/>
        </w:rPr>
        <w:t>Attributes</w:t>
      </w:r>
    </w:p>
    <w:p w14:paraId="679EE892" w14:textId="77777777" w:rsidR="00AD0C70" w:rsidRPr="00995AAB" w:rsidRDefault="00AD0C70" w:rsidP="00AD0C70">
      <w:pPr>
        <w:rPr>
          <w:lang w:val="en-GB"/>
        </w:rPr>
      </w:pPr>
      <w:r w:rsidRPr="00995AAB">
        <w:rPr>
          <w:lang w:val="en-GB"/>
        </w:rPr>
        <w:t>The Table is populated with the following attributes:</w:t>
      </w:r>
    </w:p>
    <w:p w14:paraId="564D1BE7" w14:textId="77777777" w:rsidR="00BA31A9" w:rsidRPr="00995AAB" w:rsidRDefault="00BA31A9" w:rsidP="00BA31A9">
      <w:pPr>
        <w:rPr>
          <w:lang w:val="en-GB"/>
        </w:rPr>
      </w:pPr>
      <w:r w:rsidRPr="00995AAB">
        <w:rPr>
          <w:lang w:val="en-GB"/>
        </w:rPr>
        <w:t>6a)</w:t>
      </w:r>
      <w:r w:rsidRPr="00995AAB">
        <w:rPr>
          <w:lang w:val="en-GB"/>
        </w:rPr>
        <w:tab/>
        <w:t>number of orders or requests for quotes</w:t>
      </w:r>
      <w:r w:rsidR="00D821DC" w:rsidRPr="00995AAB">
        <w:rPr>
          <w:lang w:val="en-GB"/>
        </w:rPr>
        <w:t xml:space="preserve"> (RFQ)</w:t>
      </w:r>
      <w:r w:rsidRPr="00995AAB">
        <w:rPr>
          <w:lang w:val="en-GB"/>
        </w:rPr>
        <w:t xml:space="preserve"> that were received</w:t>
      </w:r>
    </w:p>
    <w:p w14:paraId="67345837" w14:textId="77777777" w:rsidR="00BA31A9" w:rsidRPr="00995AAB" w:rsidRDefault="00BA31A9" w:rsidP="00BA31A9">
      <w:pPr>
        <w:rPr>
          <w:lang w:val="en-GB"/>
        </w:rPr>
      </w:pPr>
      <w:r w:rsidRPr="00995AAB">
        <w:rPr>
          <w:lang w:val="en-GB"/>
        </w:rPr>
        <w:t>6b)</w:t>
      </w:r>
      <w:r w:rsidRPr="00995AAB">
        <w:rPr>
          <w:lang w:val="en-GB"/>
        </w:rPr>
        <w:tab/>
        <w:t>number of transactions that were executed, if more than one</w:t>
      </w:r>
    </w:p>
    <w:p w14:paraId="5E291404" w14:textId="77777777" w:rsidR="00BA31A9" w:rsidRPr="00995AAB" w:rsidRDefault="00BA31A9" w:rsidP="00BA31A9">
      <w:pPr>
        <w:rPr>
          <w:lang w:val="en-GB"/>
        </w:rPr>
      </w:pPr>
      <w:r w:rsidRPr="00995AAB">
        <w:rPr>
          <w:lang w:val="en-GB"/>
        </w:rPr>
        <w:t>6c)</w:t>
      </w:r>
      <w:r w:rsidRPr="00995AAB">
        <w:rPr>
          <w:lang w:val="en-GB"/>
        </w:rPr>
        <w:tab/>
        <w:t>value of transactions that were executed, if more than one</w:t>
      </w:r>
    </w:p>
    <w:p w14:paraId="68F1B5B7" w14:textId="77777777" w:rsidR="00BA31A9" w:rsidRPr="00995AAB" w:rsidRDefault="00BA31A9" w:rsidP="00BA31A9">
      <w:pPr>
        <w:ind w:left="720" w:hanging="720"/>
        <w:rPr>
          <w:lang w:val="en-GB"/>
        </w:rPr>
      </w:pPr>
      <w:r w:rsidRPr="00995AAB">
        <w:rPr>
          <w:lang w:val="en-GB"/>
        </w:rPr>
        <w:t>6d)</w:t>
      </w:r>
      <w:r w:rsidRPr="00995AAB">
        <w:rPr>
          <w:lang w:val="en-GB"/>
        </w:rPr>
        <w:tab/>
        <w:t>number of orders or request for quotes</w:t>
      </w:r>
      <w:r w:rsidR="00D821DC" w:rsidRPr="00995AAB">
        <w:rPr>
          <w:lang w:val="en-GB"/>
        </w:rPr>
        <w:t xml:space="preserve"> (RFQ)</w:t>
      </w:r>
      <w:r w:rsidRPr="00995AAB">
        <w:rPr>
          <w:lang w:val="en-GB"/>
        </w:rPr>
        <w:t xml:space="preserve"> received that were cancelled or withdrawn excluding passive orders with instructions to expire or to be cancelled at the end of the day</w:t>
      </w:r>
    </w:p>
    <w:p w14:paraId="1BD52CA3" w14:textId="77777777" w:rsidR="00BA31A9" w:rsidRPr="00995AAB" w:rsidRDefault="00BA31A9" w:rsidP="00BA31A9">
      <w:pPr>
        <w:rPr>
          <w:lang w:val="en-GB"/>
        </w:rPr>
      </w:pPr>
      <w:r w:rsidRPr="00995AAB">
        <w:rPr>
          <w:lang w:val="en-GB"/>
        </w:rPr>
        <w:t>6e)</w:t>
      </w:r>
      <w:r w:rsidRPr="00995AAB">
        <w:rPr>
          <w:lang w:val="en-GB"/>
        </w:rPr>
        <w:tab/>
        <w:t>number of orders or request for quotes received that were modified on that date;</w:t>
      </w:r>
    </w:p>
    <w:p w14:paraId="5C1E260E" w14:textId="77777777" w:rsidR="00BA31A9" w:rsidRPr="00995AAB" w:rsidRDefault="00BA31A9" w:rsidP="00BA31A9">
      <w:pPr>
        <w:rPr>
          <w:lang w:val="en-GB"/>
        </w:rPr>
      </w:pPr>
      <w:r w:rsidRPr="00995AAB">
        <w:rPr>
          <w:lang w:val="en-GB"/>
        </w:rPr>
        <w:t>6f)</w:t>
      </w:r>
      <w:r w:rsidRPr="00995AAB">
        <w:rPr>
          <w:lang w:val="en-GB"/>
        </w:rPr>
        <w:tab/>
        <w:t>median transaction size on that date if more than one transaction occurred</w:t>
      </w:r>
    </w:p>
    <w:p w14:paraId="0BA6D3CF" w14:textId="77777777" w:rsidR="00BA31A9" w:rsidRPr="00995AAB" w:rsidRDefault="00BA31A9" w:rsidP="00BA31A9">
      <w:pPr>
        <w:ind w:left="720" w:hanging="720"/>
        <w:rPr>
          <w:lang w:val="en-GB"/>
        </w:rPr>
      </w:pPr>
      <w:r w:rsidRPr="00995AAB">
        <w:rPr>
          <w:lang w:val="en-GB"/>
        </w:rPr>
        <w:t>6g)</w:t>
      </w:r>
      <w:r w:rsidRPr="00995AAB">
        <w:rPr>
          <w:lang w:val="en-GB"/>
        </w:rPr>
        <w:tab/>
        <w:t>median size of all orders or requests for quote on that date if more than one order or request for quote was received</w:t>
      </w:r>
    </w:p>
    <w:p w14:paraId="1A18752F" w14:textId="77777777" w:rsidR="00265DD1" w:rsidRPr="00995AAB" w:rsidRDefault="00BA31A9" w:rsidP="00BA31A9">
      <w:pPr>
        <w:rPr>
          <w:lang w:val="en-GB"/>
        </w:rPr>
      </w:pPr>
      <w:r w:rsidRPr="00995AAB">
        <w:rPr>
          <w:lang w:val="en-GB"/>
        </w:rPr>
        <w:t>6h)</w:t>
      </w:r>
      <w:r w:rsidRPr="00995AAB">
        <w:rPr>
          <w:lang w:val="en-GB"/>
        </w:rPr>
        <w:tab/>
        <w:t>number of designated market makers</w:t>
      </w:r>
    </w:p>
    <w:p w14:paraId="37543C67" w14:textId="77777777" w:rsidR="00AC77FA" w:rsidRDefault="00300F0A" w:rsidP="00300C18">
      <w:pPr>
        <w:pStyle w:val="Heading3"/>
        <w:rPr>
          <w:lang w:val="en-GB"/>
        </w:rPr>
      </w:pPr>
      <w:bookmarkStart w:id="54" w:name="_Toc495562563"/>
      <w:r w:rsidRPr="00995AAB">
        <w:rPr>
          <w:lang w:val="en-GB"/>
        </w:rPr>
        <w:lastRenderedPageBreak/>
        <w:t>Table 7 – Likelihood of Execution - additional information by c</w:t>
      </w:r>
      <w:r w:rsidR="00AC77FA" w:rsidRPr="00995AAB">
        <w:rPr>
          <w:lang w:val="en-GB"/>
        </w:rPr>
        <w:t>ontinuous auction order book and continuous quote driven execution venues</w:t>
      </w:r>
      <w:r w:rsidRPr="00995AAB">
        <w:rPr>
          <w:lang w:val="en-GB"/>
        </w:rPr>
        <w:t xml:space="preserve"> </w:t>
      </w:r>
      <w:r w:rsidR="00393DDF">
        <w:rPr>
          <w:lang w:val="en-GB"/>
        </w:rPr>
        <w:t xml:space="preserve">– periodic </w:t>
      </w:r>
      <w:r w:rsidRPr="00995AAB">
        <w:rPr>
          <w:lang w:val="en-GB"/>
        </w:rPr>
        <w:t>(Article 7 (1))</w:t>
      </w:r>
      <w:bookmarkEnd w:id="54"/>
      <w:r w:rsidR="00AC77FA" w:rsidRPr="00995AAB" w:rsidDel="00AC77FA">
        <w:rPr>
          <w:lang w:val="en-GB"/>
        </w:rPr>
        <w:t xml:space="preserve"> </w:t>
      </w:r>
    </w:p>
    <w:p w14:paraId="359E1B54" w14:textId="78468731" w:rsidR="000E72BF" w:rsidRDefault="00091238" w:rsidP="00995AAB">
      <w:r>
        <w:t>Execution Venues</w:t>
      </w:r>
      <w:r w:rsidR="000E72BF">
        <w:t xml:space="preserve"> operating under a continuous auction order book, continuous quote driven trading system or other type of trading system for which that information is available shall publish for each market segment they operate and each financial instrument</w:t>
      </w:r>
      <w:r w:rsidR="0088504D">
        <w:rPr>
          <w:rStyle w:val="apple-converted-space"/>
        </w:rPr>
        <w:t xml:space="preserve">.  </w:t>
      </w:r>
      <w:r w:rsidR="0088504D">
        <w:t>A Systematic Internaliser in liquid equity instruments with continuous quotes would fall into this category.</w:t>
      </w:r>
    </w:p>
    <w:p w14:paraId="0D8B2C2D" w14:textId="77777777" w:rsidR="000E72BF" w:rsidRPr="00995AAB" w:rsidRDefault="000E72BF" w:rsidP="00995AAB">
      <w:pPr>
        <w:rPr>
          <w:lang w:val="en-GB"/>
        </w:rPr>
      </w:pPr>
    </w:p>
    <w:p w14:paraId="2F2A78D7" w14:textId="77777777" w:rsidR="00265DD1" w:rsidRPr="003011B1" w:rsidRDefault="00265DD1" w:rsidP="00995AAB">
      <w:pPr>
        <w:pStyle w:val="Heading4"/>
        <w:rPr>
          <w:lang w:val="en-GB"/>
        </w:rPr>
      </w:pPr>
      <w:bookmarkStart w:id="55" w:name="_Toc471981130"/>
      <w:bookmarkEnd w:id="55"/>
      <w:r w:rsidRPr="003011B1">
        <w:rPr>
          <w:lang w:val="en-GB"/>
        </w:rPr>
        <w:t>Table Format</w:t>
      </w:r>
      <w:r w:rsidR="00715242" w:rsidRPr="003011B1">
        <w:rPr>
          <w:lang w:val="en-GB"/>
        </w:rPr>
        <w:t xml:space="preserve"> (one table per instrument per market segment per day)</w:t>
      </w:r>
    </w:p>
    <w:tbl>
      <w:tblPr>
        <w:tblW w:w="10380" w:type="dxa"/>
        <w:tblLook w:val="04A0" w:firstRow="1" w:lastRow="0" w:firstColumn="1" w:lastColumn="0" w:noHBand="0" w:noVBand="1"/>
      </w:tblPr>
      <w:tblGrid>
        <w:gridCol w:w="1580"/>
        <w:gridCol w:w="1760"/>
        <w:gridCol w:w="1760"/>
        <w:gridCol w:w="1760"/>
        <w:gridCol w:w="1760"/>
        <w:gridCol w:w="1760"/>
      </w:tblGrid>
      <w:tr w:rsidR="00C04F06" w:rsidRPr="00080375" w14:paraId="1ED2785C" w14:textId="77777777" w:rsidTr="00C04F06">
        <w:trPr>
          <w:trHeight w:val="600"/>
        </w:trPr>
        <w:tc>
          <w:tcPr>
            <w:tcW w:w="1580" w:type="dxa"/>
            <w:tcBorders>
              <w:top w:val="single" w:sz="8" w:space="0" w:color="auto"/>
              <w:left w:val="single" w:sz="8" w:space="0" w:color="auto"/>
              <w:bottom w:val="single" w:sz="4" w:space="0" w:color="auto"/>
              <w:right w:val="single" w:sz="4" w:space="0" w:color="auto"/>
            </w:tcBorders>
            <w:shd w:val="clear" w:color="000000" w:fill="D9D9D9"/>
            <w:vAlign w:val="bottom"/>
            <w:hideMark/>
          </w:tcPr>
          <w:p w14:paraId="0B6A9651" w14:textId="77777777" w:rsidR="00C04F06" w:rsidRPr="00995AAB" w:rsidRDefault="00C04F06" w:rsidP="00C04F06">
            <w:pPr>
              <w:rPr>
                <w:rFonts w:ascii="Calibri" w:hAnsi="Calibri"/>
                <w:color w:val="000000"/>
                <w:sz w:val="16"/>
                <w:szCs w:val="16"/>
                <w:lang w:val="en-GB"/>
              </w:rPr>
            </w:pPr>
            <w:r w:rsidRPr="00995AAB">
              <w:rPr>
                <w:rFonts w:ascii="Calibri" w:hAnsi="Calibri"/>
                <w:color w:val="000000"/>
                <w:sz w:val="16"/>
                <w:szCs w:val="16"/>
                <w:lang w:val="en-GB"/>
              </w:rPr>
              <w:t>Time</w:t>
            </w:r>
          </w:p>
        </w:tc>
        <w:tc>
          <w:tcPr>
            <w:tcW w:w="1760" w:type="dxa"/>
            <w:tcBorders>
              <w:top w:val="single" w:sz="8" w:space="0" w:color="auto"/>
              <w:left w:val="nil"/>
              <w:bottom w:val="single" w:sz="4" w:space="0" w:color="auto"/>
              <w:right w:val="single" w:sz="4" w:space="0" w:color="auto"/>
            </w:tcBorders>
            <w:shd w:val="clear" w:color="000000" w:fill="D9D9D9"/>
            <w:vAlign w:val="bottom"/>
            <w:hideMark/>
          </w:tcPr>
          <w:p w14:paraId="13155C79" w14:textId="77777777" w:rsidR="00C04F06" w:rsidRPr="00995AAB" w:rsidRDefault="00C04F06" w:rsidP="00C04F06">
            <w:pPr>
              <w:rPr>
                <w:rFonts w:ascii="Calibri" w:hAnsi="Calibri"/>
                <w:color w:val="000000"/>
                <w:sz w:val="16"/>
                <w:szCs w:val="16"/>
                <w:lang w:val="en-GB"/>
              </w:rPr>
            </w:pPr>
            <w:r w:rsidRPr="00995AAB">
              <w:rPr>
                <w:rFonts w:ascii="Calibri" w:hAnsi="Calibri"/>
                <w:color w:val="000000"/>
                <w:sz w:val="16"/>
                <w:szCs w:val="16"/>
                <w:lang w:val="en-GB"/>
              </w:rPr>
              <w:t>Best Bid Price</w:t>
            </w:r>
          </w:p>
        </w:tc>
        <w:tc>
          <w:tcPr>
            <w:tcW w:w="1760" w:type="dxa"/>
            <w:tcBorders>
              <w:top w:val="single" w:sz="8" w:space="0" w:color="auto"/>
              <w:left w:val="nil"/>
              <w:bottom w:val="single" w:sz="4" w:space="0" w:color="auto"/>
              <w:right w:val="single" w:sz="4" w:space="0" w:color="auto"/>
            </w:tcBorders>
            <w:shd w:val="clear" w:color="000000" w:fill="D9D9D9"/>
            <w:vAlign w:val="bottom"/>
            <w:hideMark/>
          </w:tcPr>
          <w:p w14:paraId="35894687" w14:textId="77777777" w:rsidR="00C04F06" w:rsidRPr="00995AAB" w:rsidRDefault="00C04F06" w:rsidP="00C04F06">
            <w:pPr>
              <w:rPr>
                <w:rFonts w:ascii="Calibri" w:hAnsi="Calibri"/>
                <w:color w:val="000000"/>
                <w:sz w:val="16"/>
                <w:szCs w:val="16"/>
                <w:lang w:val="en-GB"/>
              </w:rPr>
            </w:pPr>
            <w:r w:rsidRPr="00995AAB">
              <w:rPr>
                <w:rFonts w:ascii="Calibri" w:hAnsi="Calibri"/>
                <w:color w:val="000000"/>
                <w:sz w:val="16"/>
                <w:szCs w:val="16"/>
                <w:lang w:val="en-GB"/>
              </w:rPr>
              <w:t>Best Offer Price</w:t>
            </w:r>
          </w:p>
        </w:tc>
        <w:tc>
          <w:tcPr>
            <w:tcW w:w="1760" w:type="dxa"/>
            <w:tcBorders>
              <w:top w:val="single" w:sz="8" w:space="0" w:color="auto"/>
              <w:left w:val="nil"/>
              <w:bottom w:val="single" w:sz="4" w:space="0" w:color="auto"/>
              <w:right w:val="single" w:sz="4" w:space="0" w:color="auto"/>
            </w:tcBorders>
            <w:shd w:val="clear" w:color="000000" w:fill="D9D9D9"/>
            <w:vAlign w:val="bottom"/>
            <w:hideMark/>
          </w:tcPr>
          <w:p w14:paraId="6E638833" w14:textId="77777777" w:rsidR="00C04F06" w:rsidRPr="00995AAB" w:rsidRDefault="00C04F06" w:rsidP="00C04F06">
            <w:pPr>
              <w:rPr>
                <w:rFonts w:ascii="Calibri" w:hAnsi="Calibri"/>
                <w:color w:val="000000"/>
                <w:sz w:val="16"/>
                <w:szCs w:val="16"/>
                <w:lang w:val="en-GB"/>
              </w:rPr>
            </w:pPr>
            <w:r w:rsidRPr="00995AAB">
              <w:rPr>
                <w:rFonts w:ascii="Calibri" w:hAnsi="Calibri"/>
                <w:color w:val="000000"/>
                <w:sz w:val="16"/>
                <w:szCs w:val="16"/>
                <w:lang w:val="en-GB"/>
              </w:rPr>
              <w:t>Bid Size</w:t>
            </w:r>
          </w:p>
        </w:tc>
        <w:tc>
          <w:tcPr>
            <w:tcW w:w="1760" w:type="dxa"/>
            <w:tcBorders>
              <w:top w:val="single" w:sz="8" w:space="0" w:color="auto"/>
              <w:left w:val="nil"/>
              <w:bottom w:val="single" w:sz="4" w:space="0" w:color="auto"/>
              <w:right w:val="nil"/>
            </w:tcBorders>
            <w:shd w:val="clear" w:color="000000" w:fill="D9D9D9"/>
            <w:vAlign w:val="bottom"/>
            <w:hideMark/>
          </w:tcPr>
          <w:p w14:paraId="7B6D0097" w14:textId="77777777" w:rsidR="00C04F06" w:rsidRPr="00995AAB" w:rsidRDefault="00C04F06" w:rsidP="00C04F06">
            <w:pPr>
              <w:rPr>
                <w:rFonts w:ascii="Calibri" w:hAnsi="Calibri"/>
                <w:color w:val="000000"/>
                <w:sz w:val="16"/>
                <w:szCs w:val="16"/>
                <w:lang w:val="en-GB"/>
              </w:rPr>
            </w:pPr>
            <w:r w:rsidRPr="00995AAB">
              <w:rPr>
                <w:rFonts w:ascii="Calibri" w:hAnsi="Calibri"/>
                <w:color w:val="000000"/>
                <w:sz w:val="16"/>
                <w:szCs w:val="16"/>
                <w:lang w:val="en-GB"/>
              </w:rPr>
              <w:t>Offer Sizes</w:t>
            </w:r>
          </w:p>
        </w:tc>
        <w:tc>
          <w:tcPr>
            <w:tcW w:w="1760" w:type="dxa"/>
            <w:tcBorders>
              <w:top w:val="single" w:sz="8" w:space="0" w:color="auto"/>
              <w:left w:val="single" w:sz="4" w:space="0" w:color="auto"/>
              <w:bottom w:val="single" w:sz="4" w:space="0" w:color="auto"/>
              <w:right w:val="single" w:sz="8" w:space="0" w:color="auto"/>
            </w:tcBorders>
            <w:shd w:val="clear" w:color="000000" w:fill="D9D9D9"/>
            <w:vAlign w:val="bottom"/>
            <w:hideMark/>
          </w:tcPr>
          <w:p w14:paraId="1FBC88A2" w14:textId="77777777" w:rsidR="00C04F06" w:rsidRPr="00995AAB" w:rsidRDefault="00C04F06" w:rsidP="00C04F06">
            <w:pPr>
              <w:rPr>
                <w:rFonts w:ascii="Calibri" w:hAnsi="Calibri"/>
                <w:color w:val="000000"/>
                <w:sz w:val="16"/>
                <w:szCs w:val="16"/>
                <w:lang w:val="en-GB"/>
              </w:rPr>
            </w:pPr>
            <w:r w:rsidRPr="00995AAB">
              <w:rPr>
                <w:rFonts w:ascii="Calibri" w:hAnsi="Calibri"/>
                <w:color w:val="000000"/>
                <w:sz w:val="16"/>
                <w:szCs w:val="16"/>
                <w:lang w:val="en-GB"/>
              </w:rPr>
              <w:t>Book depth within 3 price increments</w:t>
            </w:r>
          </w:p>
        </w:tc>
      </w:tr>
      <w:tr w:rsidR="00C04F06" w:rsidRPr="00080375" w14:paraId="3EC1CFF8" w14:textId="77777777" w:rsidTr="00C04F06">
        <w:trPr>
          <w:trHeight w:val="320"/>
        </w:trPr>
        <w:tc>
          <w:tcPr>
            <w:tcW w:w="1580" w:type="dxa"/>
            <w:tcBorders>
              <w:top w:val="nil"/>
              <w:left w:val="single" w:sz="8" w:space="0" w:color="auto"/>
              <w:bottom w:val="single" w:sz="4" w:space="0" w:color="auto"/>
              <w:right w:val="single" w:sz="4" w:space="0" w:color="auto"/>
            </w:tcBorders>
            <w:shd w:val="clear" w:color="000000" w:fill="D9D9D9"/>
            <w:hideMark/>
          </w:tcPr>
          <w:p w14:paraId="0B601C2B" w14:textId="77777777" w:rsidR="00C04F06" w:rsidRPr="00995AAB" w:rsidRDefault="00C04F06" w:rsidP="00C04F06">
            <w:pPr>
              <w:rPr>
                <w:rFonts w:ascii="Calibri" w:hAnsi="Calibri"/>
                <w:color w:val="000000"/>
                <w:sz w:val="16"/>
                <w:szCs w:val="16"/>
                <w:lang w:val="en-GB"/>
              </w:rPr>
            </w:pPr>
            <w:r w:rsidRPr="00995AAB">
              <w:rPr>
                <w:rFonts w:ascii="Calibri" w:hAnsi="Calibri"/>
                <w:color w:val="000000"/>
                <w:sz w:val="16"/>
                <w:szCs w:val="16"/>
                <w:lang w:val="en-GB"/>
              </w:rPr>
              <w:t>09.30.00</w:t>
            </w:r>
          </w:p>
        </w:tc>
        <w:tc>
          <w:tcPr>
            <w:tcW w:w="1760" w:type="dxa"/>
            <w:tcBorders>
              <w:top w:val="nil"/>
              <w:left w:val="nil"/>
              <w:bottom w:val="single" w:sz="4" w:space="0" w:color="auto"/>
              <w:right w:val="single" w:sz="4" w:space="0" w:color="auto"/>
            </w:tcBorders>
            <w:shd w:val="clear" w:color="auto" w:fill="auto"/>
            <w:vAlign w:val="center"/>
            <w:hideMark/>
          </w:tcPr>
          <w:p w14:paraId="012560B0" w14:textId="77777777" w:rsidR="00C04F06" w:rsidRPr="00995AAB" w:rsidRDefault="00C04F06" w:rsidP="00C04F06">
            <w:pPr>
              <w:rPr>
                <w:rFonts w:ascii="Calibri" w:hAnsi="Calibri"/>
                <w:color w:val="FF0000"/>
                <w:sz w:val="16"/>
                <w:szCs w:val="16"/>
                <w:lang w:val="en-GB"/>
              </w:rPr>
            </w:pPr>
            <w:r w:rsidRPr="00995AAB">
              <w:rPr>
                <w:rFonts w:ascii="Calibri" w:hAnsi="Calibri"/>
                <w:color w:val="FF0000"/>
                <w:sz w:val="16"/>
                <w:szCs w:val="16"/>
                <w:lang w:val="en-GB"/>
              </w:rPr>
              <w:t>7a)</w:t>
            </w:r>
          </w:p>
        </w:tc>
        <w:tc>
          <w:tcPr>
            <w:tcW w:w="1760" w:type="dxa"/>
            <w:tcBorders>
              <w:top w:val="nil"/>
              <w:left w:val="nil"/>
              <w:bottom w:val="single" w:sz="4" w:space="0" w:color="auto"/>
              <w:right w:val="single" w:sz="4" w:space="0" w:color="auto"/>
            </w:tcBorders>
            <w:shd w:val="clear" w:color="auto" w:fill="auto"/>
            <w:vAlign w:val="center"/>
            <w:hideMark/>
          </w:tcPr>
          <w:p w14:paraId="11FAE2DB" w14:textId="77777777" w:rsidR="00C04F06" w:rsidRPr="00995AAB" w:rsidRDefault="00C04F06" w:rsidP="00C04F06">
            <w:pPr>
              <w:rPr>
                <w:rFonts w:ascii="Calibri" w:hAnsi="Calibri"/>
                <w:color w:val="FF0000"/>
                <w:sz w:val="16"/>
                <w:szCs w:val="16"/>
                <w:lang w:val="en-GB"/>
              </w:rPr>
            </w:pPr>
            <w:r w:rsidRPr="00995AAB">
              <w:rPr>
                <w:rFonts w:ascii="Calibri" w:hAnsi="Calibri"/>
                <w:color w:val="FF0000"/>
                <w:sz w:val="16"/>
                <w:szCs w:val="16"/>
                <w:lang w:val="en-GB"/>
              </w:rPr>
              <w:t>7b)</w:t>
            </w:r>
          </w:p>
        </w:tc>
        <w:tc>
          <w:tcPr>
            <w:tcW w:w="1760" w:type="dxa"/>
            <w:tcBorders>
              <w:top w:val="nil"/>
              <w:left w:val="nil"/>
              <w:bottom w:val="single" w:sz="4" w:space="0" w:color="auto"/>
              <w:right w:val="single" w:sz="4" w:space="0" w:color="auto"/>
            </w:tcBorders>
            <w:shd w:val="clear" w:color="auto" w:fill="auto"/>
            <w:vAlign w:val="center"/>
            <w:hideMark/>
          </w:tcPr>
          <w:p w14:paraId="60DDB7C3" w14:textId="77777777" w:rsidR="00C04F06" w:rsidRPr="00995AAB" w:rsidRDefault="00C04F06" w:rsidP="00C04F06">
            <w:pPr>
              <w:rPr>
                <w:rFonts w:ascii="Calibri" w:hAnsi="Calibri"/>
                <w:color w:val="FF0000"/>
                <w:sz w:val="16"/>
                <w:szCs w:val="16"/>
                <w:lang w:val="en-GB"/>
              </w:rPr>
            </w:pPr>
            <w:r w:rsidRPr="00995AAB">
              <w:rPr>
                <w:rFonts w:ascii="Calibri" w:hAnsi="Calibri"/>
                <w:color w:val="FF0000"/>
                <w:sz w:val="16"/>
                <w:szCs w:val="16"/>
                <w:lang w:val="en-GB"/>
              </w:rPr>
              <w:t>7c)</w:t>
            </w:r>
          </w:p>
        </w:tc>
        <w:tc>
          <w:tcPr>
            <w:tcW w:w="1760" w:type="dxa"/>
            <w:tcBorders>
              <w:top w:val="nil"/>
              <w:left w:val="nil"/>
              <w:bottom w:val="single" w:sz="4" w:space="0" w:color="auto"/>
              <w:right w:val="nil"/>
            </w:tcBorders>
            <w:shd w:val="clear" w:color="auto" w:fill="auto"/>
            <w:vAlign w:val="center"/>
            <w:hideMark/>
          </w:tcPr>
          <w:p w14:paraId="34DF8EC4" w14:textId="77777777" w:rsidR="00C04F06" w:rsidRPr="00995AAB" w:rsidRDefault="00C04F06" w:rsidP="00C04F06">
            <w:pPr>
              <w:rPr>
                <w:rFonts w:ascii="Calibri" w:hAnsi="Calibri"/>
                <w:color w:val="FF0000"/>
                <w:sz w:val="16"/>
                <w:szCs w:val="16"/>
                <w:lang w:val="en-GB"/>
              </w:rPr>
            </w:pPr>
            <w:r w:rsidRPr="00995AAB">
              <w:rPr>
                <w:rFonts w:ascii="Calibri" w:hAnsi="Calibri"/>
                <w:color w:val="FF0000"/>
                <w:sz w:val="16"/>
                <w:szCs w:val="16"/>
                <w:lang w:val="en-GB"/>
              </w:rPr>
              <w:t>7d)</w:t>
            </w:r>
          </w:p>
        </w:tc>
        <w:tc>
          <w:tcPr>
            <w:tcW w:w="1760" w:type="dxa"/>
            <w:tcBorders>
              <w:top w:val="nil"/>
              <w:left w:val="single" w:sz="4" w:space="0" w:color="auto"/>
              <w:bottom w:val="single" w:sz="4" w:space="0" w:color="auto"/>
              <w:right w:val="single" w:sz="8" w:space="0" w:color="auto"/>
            </w:tcBorders>
            <w:shd w:val="clear" w:color="auto" w:fill="auto"/>
            <w:noWrap/>
            <w:vAlign w:val="center"/>
            <w:hideMark/>
          </w:tcPr>
          <w:p w14:paraId="7F74CBF7" w14:textId="77777777" w:rsidR="00C04F06" w:rsidRPr="00995AAB" w:rsidRDefault="00C04F06" w:rsidP="00C04F06">
            <w:pPr>
              <w:rPr>
                <w:rFonts w:ascii="Calibri" w:hAnsi="Calibri"/>
                <w:color w:val="FF0000"/>
                <w:sz w:val="16"/>
                <w:szCs w:val="16"/>
                <w:lang w:val="en-GB"/>
              </w:rPr>
            </w:pPr>
            <w:r w:rsidRPr="00995AAB">
              <w:rPr>
                <w:rFonts w:ascii="Calibri" w:hAnsi="Calibri"/>
                <w:color w:val="FF0000"/>
                <w:sz w:val="16"/>
                <w:szCs w:val="16"/>
                <w:lang w:val="en-GB"/>
              </w:rPr>
              <w:t>7e)</w:t>
            </w:r>
          </w:p>
        </w:tc>
      </w:tr>
      <w:tr w:rsidR="00C04F06" w:rsidRPr="00080375" w14:paraId="65C60891" w14:textId="77777777" w:rsidTr="00C04F06">
        <w:trPr>
          <w:trHeight w:val="320"/>
        </w:trPr>
        <w:tc>
          <w:tcPr>
            <w:tcW w:w="1580" w:type="dxa"/>
            <w:tcBorders>
              <w:top w:val="nil"/>
              <w:left w:val="single" w:sz="8" w:space="0" w:color="auto"/>
              <w:bottom w:val="single" w:sz="4" w:space="0" w:color="auto"/>
              <w:right w:val="single" w:sz="4" w:space="0" w:color="auto"/>
            </w:tcBorders>
            <w:shd w:val="clear" w:color="000000" w:fill="D9D9D9"/>
            <w:hideMark/>
          </w:tcPr>
          <w:p w14:paraId="2C544612" w14:textId="77777777" w:rsidR="00C04F06" w:rsidRPr="00995AAB" w:rsidRDefault="00C04F06" w:rsidP="00C04F06">
            <w:pPr>
              <w:rPr>
                <w:rFonts w:ascii="Calibri" w:hAnsi="Calibri"/>
                <w:color w:val="000000"/>
                <w:sz w:val="16"/>
                <w:szCs w:val="16"/>
                <w:lang w:val="en-GB"/>
              </w:rPr>
            </w:pPr>
            <w:r w:rsidRPr="00995AAB">
              <w:rPr>
                <w:rFonts w:ascii="Calibri" w:hAnsi="Calibri"/>
                <w:color w:val="000000"/>
                <w:sz w:val="16"/>
                <w:szCs w:val="16"/>
                <w:lang w:val="en-GB"/>
              </w:rPr>
              <w:t>11.30.00</w:t>
            </w:r>
          </w:p>
        </w:tc>
        <w:tc>
          <w:tcPr>
            <w:tcW w:w="1760" w:type="dxa"/>
            <w:tcBorders>
              <w:top w:val="nil"/>
              <w:left w:val="nil"/>
              <w:bottom w:val="single" w:sz="4" w:space="0" w:color="auto"/>
              <w:right w:val="single" w:sz="4" w:space="0" w:color="auto"/>
            </w:tcBorders>
            <w:shd w:val="clear" w:color="auto" w:fill="auto"/>
            <w:hideMark/>
          </w:tcPr>
          <w:p w14:paraId="3810E65F" w14:textId="77777777" w:rsidR="00C04F06" w:rsidRPr="00995AAB" w:rsidRDefault="00C04F06" w:rsidP="00C04F06">
            <w:pPr>
              <w:rPr>
                <w:rFonts w:ascii="Calibri" w:hAnsi="Calibri"/>
                <w:color w:val="000000"/>
                <w:sz w:val="16"/>
                <w:szCs w:val="16"/>
                <w:lang w:val="en-GB"/>
              </w:rPr>
            </w:pPr>
            <w:r w:rsidRPr="00995AAB">
              <w:rPr>
                <w:rFonts w:ascii="Calibri" w:hAnsi="Calibri"/>
                <w:color w:val="000000"/>
                <w:sz w:val="16"/>
                <w:szCs w:val="16"/>
                <w:lang w:val="en-GB"/>
              </w:rPr>
              <w:t> </w:t>
            </w:r>
          </w:p>
        </w:tc>
        <w:tc>
          <w:tcPr>
            <w:tcW w:w="1760" w:type="dxa"/>
            <w:tcBorders>
              <w:top w:val="nil"/>
              <w:left w:val="nil"/>
              <w:bottom w:val="single" w:sz="4" w:space="0" w:color="auto"/>
              <w:right w:val="single" w:sz="4" w:space="0" w:color="auto"/>
            </w:tcBorders>
            <w:shd w:val="clear" w:color="auto" w:fill="auto"/>
            <w:hideMark/>
          </w:tcPr>
          <w:p w14:paraId="7B62AF70" w14:textId="77777777" w:rsidR="00C04F06" w:rsidRPr="00995AAB" w:rsidRDefault="00C04F06" w:rsidP="00C04F06">
            <w:pPr>
              <w:rPr>
                <w:rFonts w:ascii="Calibri" w:hAnsi="Calibri"/>
                <w:color w:val="000000"/>
                <w:sz w:val="16"/>
                <w:szCs w:val="16"/>
                <w:lang w:val="en-GB"/>
              </w:rPr>
            </w:pPr>
            <w:r w:rsidRPr="00995AAB">
              <w:rPr>
                <w:rFonts w:ascii="Calibri" w:hAnsi="Calibri"/>
                <w:color w:val="000000"/>
                <w:sz w:val="16"/>
                <w:szCs w:val="16"/>
                <w:lang w:val="en-GB"/>
              </w:rPr>
              <w:t> </w:t>
            </w:r>
          </w:p>
        </w:tc>
        <w:tc>
          <w:tcPr>
            <w:tcW w:w="1760" w:type="dxa"/>
            <w:tcBorders>
              <w:top w:val="nil"/>
              <w:left w:val="nil"/>
              <w:bottom w:val="single" w:sz="4" w:space="0" w:color="auto"/>
              <w:right w:val="single" w:sz="4" w:space="0" w:color="auto"/>
            </w:tcBorders>
            <w:shd w:val="clear" w:color="auto" w:fill="auto"/>
            <w:hideMark/>
          </w:tcPr>
          <w:p w14:paraId="13F14F3B" w14:textId="77777777" w:rsidR="00C04F06" w:rsidRPr="00995AAB" w:rsidRDefault="00C04F06" w:rsidP="00C04F06">
            <w:pPr>
              <w:rPr>
                <w:rFonts w:ascii="Calibri" w:hAnsi="Calibri"/>
                <w:color w:val="000000"/>
                <w:sz w:val="16"/>
                <w:szCs w:val="16"/>
                <w:lang w:val="en-GB"/>
              </w:rPr>
            </w:pPr>
            <w:r w:rsidRPr="00995AAB">
              <w:rPr>
                <w:rFonts w:ascii="Calibri" w:hAnsi="Calibri"/>
                <w:color w:val="000000"/>
                <w:sz w:val="16"/>
                <w:szCs w:val="16"/>
                <w:lang w:val="en-GB"/>
              </w:rPr>
              <w:t> </w:t>
            </w:r>
          </w:p>
        </w:tc>
        <w:tc>
          <w:tcPr>
            <w:tcW w:w="1760" w:type="dxa"/>
            <w:tcBorders>
              <w:top w:val="nil"/>
              <w:left w:val="nil"/>
              <w:bottom w:val="single" w:sz="4" w:space="0" w:color="auto"/>
              <w:right w:val="nil"/>
            </w:tcBorders>
            <w:shd w:val="clear" w:color="auto" w:fill="auto"/>
            <w:hideMark/>
          </w:tcPr>
          <w:p w14:paraId="2B794182" w14:textId="77777777" w:rsidR="00C04F06" w:rsidRPr="00995AAB" w:rsidRDefault="00C04F06" w:rsidP="00C04F06">
            <w:pPr>
              <w:rPr>
                <w:rFonts w:ascii="Calibri" w:hAnsi="Calibri"/>
                <w:color w:val="000000"/>
                <w:sz w:val="16"/>
                <w:szCs w:val="16"/>
                <w:lang w:val="en-GB"/>
              </w:rPr>
            </w:pPr>
            <w:r w:rsidRPr="00995AAB">
              <w:rPr>
                <w:rFonts w:ascii="Calibri" w:hAnsi="Calibri"/>
                <w:color w:val="000000"/>
                <w:sz w:val="16"/>
                <w:szCs w:val="16"/>
                <w:lang w:val="en-GB"/>
              </w:rPr>
              <w:t> </w:t>
            </w:r>
          </w:p>
        </w:tc>
        <w:tc>
          <w:tcPr>
            <w:tcW w:w="1760" w:type="dxa"/>
            <w:tcBorders>
              <w:top w:val="nil"/>
              <w:left w:val="single" w:sz="4" w:space="0" w:color="auto"/>
              <w:bottom w:val="single" w:sz="4" w:space="0" w:color="auto"/>
              <w:right w:val="single" w:sz="8" w:space="0" w:color="auto"/>
            </w:tcBorders>
            <w:shd w:val="clear" w:color="auto" w:fill="auto"/>
            <w:noWrap/>
            <w:vAlign w:val="bottom"/>
            <w:hideMark/>
          </w:tcPr>
          <w:p w14:paraId="65D2DF1B" w14:textId="77777777" w:rsidR="00C04F06" w:rsidRPr="00995AAB" w:rsidRDefault="00C04F06" w:rsidP="00C04F06">
            <w:pPr>
              <w:rPr>
                <w:rFonts w:ascii="Calibri" w:hAnsi="Calibri"/>
                <w:color w:val="000000"/>
                <w:sz w:val="16"/>
                <w:szCs w:val="16"/>
                <w:lang w:val="en-GB"/>
              </w:rPr>
            </w:pPr>
            <w:r w:rsidRPr="00995AAB">
              <w:rPr>
                <w:rFonts w:ascii="Calibri" w:hAnsi="Calibri"/>
                <w:color w:val="000000"/>
                <w:sz w:val="16"/>
                <w:szCs w:val="16"/>
                <w:lang w:val="en-GB"/>
              </w:rPr>
              <w:t> </w:t>
            </w:r>
          </w:p>
        </w:tc>
      </w:tr>
      <w:tr w:rsidR="00C04F06" w:rsidRPr="00080375" w14:paraId="7A3AE96A" w14:textId="77777777" w:rsidTr="00C04F06">
        <w:trPr>
          <w:trHeight w:val="320"/>
        </w:trPr>
        <w:tc>
          <w:tcPr>
            <w:tcW w:w="1580" w:type="dxa"/>
            <w:tcBorders>
              <w:top w:val="nil"/>
              <w:left w:val="single" w:sz="8" w:space="0" w:color="auto"/>
              <w:bottom w:val="single" w:sz="4" w:space="0" w:color="auto"/>
              <w:right w:val="single" w:sz="4" w:space="0" w:color="auto"/>
            </w:tcBorders>
            <w:shd w:val="clear" w:color="000000" w:fill="D9D9D9"/>
            <w:hideMark/>
          </w:tcPr>
          <w:p w14:paraId="794382E1" w14:textId="77777777" w:rsidR="00C04F06" w:rsidRPr="00995AAB" w:rsidRDefault="00C04F06" w:rsidP="00C04F06">
            <w:pPr>
              <w:rPr>
                <w:rFonts w:ascii="Calibri" w:hAnsi="Calibri"/>
                <w:color w:val="000000"/>
                <w:sz w:val="16"/>
                <w:szCs w:val="16"/>
                <w:lang w:val="en-GB"/>
              </w:rPr>
            </w:pPr>
            <w:r w:rsidRPr="00995AAB">
              <w:rPr>
                <w:rFonts w:ascii="Calibri" w:hAnsi="Calibri"/>
                <w:color w:val="000000"/>
                <w:sz w:val="16"/>
                <w:szCs w:val="16"/>
                <w:lang w:val="en-GB"/>
              </w:rPr>
              <w:t>13.30.00</w:t>
            </w:r>
          </w:p>
        </w:tc>
        <w:tc>
          <w:tcPr>
            <w:tcW w:w="1760" w:type="dxa"/>
            <w:tcBorders>
              <w:top w:val="nil"/>
              <w:left w:val="nil"/>
              <w:bottom w:val="single" w:sz="4" w:space="0" w:color="auto"/>
              <w:right w:val="single" w:sz="4" w:space="0" w:color="auto"/>
            </w:tcBorders>
            <w:shd w:val="clear" w:color="auto" w:fill="auto"/>
            <w:hideMark/>
          </w:tcPr>
          <w:p w14:paraId="2E00FAA2" w14:textId="77777777" w:rsidR="00C04F06" w:rsidRPr="00995AAB" w:rsidRDefault="00C04F06" w:rsidP="00C04F06">
            <w:pPr>
              <w:rPr>
                <w:rFonts w:ascii="Calibri" w:hAnsi="Calibri"/>
                <w:color w:val="000000"/>
                <w:sz w:val="16"/>
                <w:szCs w:val="16"/>
                <w:lang w:val="en-GB"/>
              </w:rPr>
            </w:pPr>
            <w:r w:rsidRPr="00995AAB">
              <w:rPr>
                <w:rFonts w:ascii="Calibri" w:hAnsi="Calibri"/>
                <w:color w:val="000000"/>
                <w:sz w:val="16"/>
                <w:szCs w:val="16"/>
                <w:lang w:val="en-GB"/>
              </w:rPr>
              <w:t> </w:t>
            </w:r>
          </w:p>
        </w:tc>
        <w:tc>
          <w:tcPr>
            <w:tcW w:w="1760" w:type="dxa"/>
            <w:tcBorders>
              <w:top w:val="nil"/>
              <w:left w:val="nil"/>
              <w:bottom w:val="single" w:sz="4" w:space="0" w:color="auto"/>
              <w:right w:val="single" w:sz="4" w:space="0" w:color="auto"/>
            </w:tcBorders>
            <w:shd w:val="clear" w:color="auto" w:fill="auto"/>
            <w:hideMark/>
          </w:tcPr>
          <w:p w14:paraId="769BED4B" w14:textId="77777777" w:rsidR="00C04F06" w:rsidRPr="00995AAB" w:rsidRDefault="00C04F06" w:rsidP="00C04F06">
            <w:pPr>
              <w:rPr>
                <w:rFonts w:ascii="Calibri" w:hAnsi="Calibri"/>
                <w:color w:val="000000"/>
                <w:sz w:val="16"/>
                <w:szCs w:val="16"/>
                <w:lang w:val="en-GB"/>
              </w:rPr>
            </w:pPr>
            <w:r w:rsidRPr="00995AAB">
              <w:rPr>
                <w:rFonts w:ascii="Calibri" w:hAnsi="Calibri"/>
                <w:color w:val="000000"/>
                <w:sz w:val="16"/>
                <w:szCs w:val="16"/>
                <w:lang w:val="en-GB"/>
              </w:rPr>
              <w:t> </w:t>
            </w:r>
          </w:p>
        </w:tc>
        <w:tc>
          <w:tcPr>
            <w:tcW w:w="1760" w:type="dxa"/>
            <w:tcBorders>
              <w:top w:val="nil"/>
              <w:left w:val="nil"/>
              <w:bottom w:val="single" w:sz="4" w:space="0" w:color="auto"/>
              <w:right w:val="single" w:sz="4" w:space="0" w:color="auto"/>
            </w:tcBorders>
            <w:shd w:val="clear" w:color="auto" w:fill="auto"/>
            <w:hideMark/>
          </w:tcPr>
          <w:p w14:paraId="56EB4B48" w14:textId="77777777" w:rsidR="00C04F06" w:rsidRPr="00995AAB" w:rsidRDefault="00C04F06" w:rsidP="00C04F06">
            <w:pPr>
              <w:rPr>
                <w:rFonts w:ascii="Calibri" w:hAnsi="Calibri"/>
                <w:color w:val="000000"/>
                <w:sz w:val="16"/>
                <w:szCs w:val="16"/>
                <w:lang w:val="en-GB"/>
              </w:rPr>
            </w:pPr>
            <w:r w:rsidRPr="00995AAB">
              <w:rPr>
                <w:rFonts w:ascii="Calibri" w:hAnsi="Calibri"/>
                <w:color w:val="000000"/>
                <w:sz w:val="16"/>
                <w:szCs w:val="16"/>
                <w:lang w:val="en-GB"/>
              </w:rPr>
              <w:t> </w:t>
            </w:r>
          </w:p>
        </w:tc>
        <w:tc>
          <w:tcPr>
            <w:tcW w:w="1760" w:type="dxa"/>
            <w:tcBorders>
              <w:top w:val="nil"/>
              <w:left w:val="nil"/>
              <w:bottom w:val="single" w:sz="4" w:space="0" w:color="auto"/>
              <w:right w:val="nil"/>
            </w:tcBorders>
            <w:shd w:val="clear" w:color="auto" w:fill="auto"/>
            <w:hideMark/>
          </w:tcPr>
          <w:p w14:paraId="1BB3FEDF" w14:textId="77777777" w:rsidR="00C04F06" w:rsidRPr="00995AAB" w:rsidRDefault="00C04F06" w:rsidP="00C04F06">
            <w:pPr>
              <w:rPr>
                <w:rFonts w:ascii="Calibri" w:hAnsi="Calibri"/>
                <w:color w:val="000000"/>
                <w:sz w:val="16"/>
                <w:szCs w:val="16"/>
                <w:lang w:val="en-GB"/>
              </w:rPr>
            </w:pPr>
            <w:r w:rsidRPr="00995AAB">
              <w:rPr>
                <w:rFonts w:ascii="Calibri" w:hAnsi="Calibri"/>
                <w:color w:val="000000"/>
                <w:sz w:val="16"/>
                <w:szCs w:val="16"/>
                <w:lang w:val="en-GB"/>
              </w:rPr>
              <w:t> </w:t>
            </w:r>
          </w:p>
        </w:tc>
        <w:tc>
          <w:tcPr>
            <w:tcW w:w="1760" w:type="dxa"/>
            <w:tcBorders>
              <w:top w:val="nil"/>
              <w:left w:val="single" w:sz="4" w:space="0" w:color="auto"/>
              <w:bottom w:val="single" w:sz="4" w:space="0" w:color="auto"/>
              <w:right w:val="single" w:sz="8" w:space="0" w:color="auto"/>
            </w:tcBorders>
            <w:shd w:val="clear" w:color="auto" w:fill="auto"/>
            <w:noWrap/>
            <w:vAlign w:val="bottom"/>
            <w:hideMark/>
          </w:tcPr>
          <w:p w14:paraId="63457233" w14:textId="77777777" w:rsidR="00C04F06" w:rsidRPr="00995AAB" w:rsidRDefault="00C04F06" w:rsidP="00C04F06">
            <w:pPr>
              <w:rPr>
                <w:rFonts w:ascii="Calibri" w:hAnsi="Calibri"/>
                <w:color w:val="000000"/>
                <w:sz w:val="16"/>
                <w:szCs w:val="16"/>
                <w:lang w:val="en-GB"/>
              </w:rPr>
            </w:pPr>
            <w:r w:rsidRPr="00995AAB">
              <w:rPr>
                <w:rFonts w:ascii="Calibri" w:hAnsi="Calibri"/>
                <w:color w:val="000000"/>
                <w:sz w:val="16"/>
                <w:szCs w:val="16"/>
                <w:lang w:val="en-GB"/>
              </w:rPr>
              <w:t> </w:t>
            </w:r>
          </w:p>
        </w:tc>
      </w:tr>
      <w:tr w:rsidR="00C04F06" w:rsidRPr="00080375" w14:paraId="6655B40A" w14:textId="77777777" w:rsidTr="00995AAB">
        <w:trPr>
          <w:trHeight w:val="374"/>
        </w:trPr>
        <w:tc>
          <w:tcPr>
            <w:tcW w:w="1580" w:type="dxa"/>
            <w:tcBorders>
              <w:top w:val="nil"/>
              <w:left w:val="single" w:sz="8" w:space="0" w:color="auto"/>
              <w:bottom w:val="single" w:sz="8" w:space="0" w:color="auto"/>
              <w:right w:val="single" w:sz="4" w:space="0" w:color="auto"/>
            </w:tcBorders>
            <w:shd w:val="clear" w:color="000000" w:fill="D9D9D9"/>
            <w:hideMark/>
          </w:tcPr>
          <w:p w14:paraId="41196E03" w14:textId="77777777" w:rsidR="00C04F06" w:rsidRPr="00995AAB" w:rsidRDefault="00C04F06" w:rsidP="00C04F06">
            <w:pPr>
              <w:rPr>
                <w:rFonts w:ascii="Calibri" w:hAnsi="Calibri"/>
                <w:color w:val="000000"/>
                <w:sz w:val="16"/>
                <w:szCs w:val="16"/>
                <w:lang w:val="en-GB"/>
              </w:rPr>
            </w:pPr>
            <w:r w:rsidRPr="00995AAB">
              <w:rPr>
                <w:rFonts w:ascii="Calibri" w:hAnsi="Calibri"/>
                <w:color w:val="000000"/>
                <w:sz w:val="16"/>
                <w:szCs w:val="16"/>
                <w:lang w:val="en-GB"/>
              </w:rPr>
              <w:t>15.30.00</w:t>
            </w:r>
          </w:p>
        </w:tc>
        <w:tc>
          <w:tcPr>
            <w:tcW w:w="1760" w:type="dxa"/>
            <w:tcBorders>
              <w:top w:val="nil"/>
              <w:left w:val="nil"/>
              <w:bottom w:val="single" w:sz="8" w:space="0" w:color="auto"/>
              <w:right w:val="single" w:sz="4" w:space="0" w:color="auto"/>
            </w:tcBorders>
            <w:shd w:val="clear" w:color="auto" w:fill="auto"/>
            <w:hideMark/>
          </w:tcPr>
          <w:p w14:paraId="079E2F27" w14:textId="77777777" w:rsidR="00C04F06" w:rsidRPr="00995AAB" w:rsidRDefault="00C04F06" w:rsidP="00C04F06">
            <w:pPr>
              <w:rPr>
                <w:rFonts w:ascii="Calibri" w:hAnsi="Calibri"/>
                <w:color w:val="000000"/>
                <w:sz w:val="16"/>
                <w:szCs w:val="16"/>
                <w:lang w:val="en-GB"/>
              </w:rPr>
            </w:pPr>
            <w:r w:rsidRPr="00995AAB">
              <w:rPr>
                <w:rFonts w:ascii="Calibri" w:hAnsi="Calibri"/>
                <w:color w:val="000000"/>
                <w:sz w:val="16"/>
                <w:szCs w:val="16"/>
                <w:lang w:val="en-GB"/>
              </w:rPr>
              <w:t> </w:t>
            </w:r>
          </w:p>
        </w:tc>
        <w:tc>
          <w:tcPr>
            <w:tcW w:w="1760" w:type="dxa"/>
            <w:tcBorders>
              <w:top w:val="nil"/>
              <w:left w:val="nil"/>
              <w:bottom w:val="single" w:sz="8" w:space="0" w:color="auto"/>
              <w:right w:val="single" w:sz="4" w:space="0" w:color="auto"/>
            </w:tcBorders>
            <w:shd w:val="clear" w:color="auto" w:fill="auto"/>
            <w:hideMark/>
          </w:tcPr>
          <w:p w14:paraId="5A839846" w14:textId="77777777" w:rsidR="00C04F06" w:rsidRPr="00995AAB" w:rsidRDefault="00C04F06" w:rsidP="00C04F06">
            <w:pPr>
              <w:rPr>
                <w:rFonts w:ascii="Calibri" w:hAnsi="Calibri"/>
                <w:color w:val="000000"/>
                <w:sz w:val="16"/>
                <w:szCs w:val="16"/>
                <w:lang w:val="en-GB"/>
              </w:rPr>
            </w:pPr>
            <w:r w:rsidRPr="00995AAB">
              <w:rPr>
                <w:rFonts w:ascii="Calibri" w:hAnsi="Calibri"/>
                <w:color w:val="000000"/>
                <w:sz w:val="16"/>
                <w:szCs w:val="16"/>
                <w:lang w:val="en-GB"/>
              </w:rPr>
              <w:t> </w:t>
            </w:r>
          </w:p>
        </w:tc>
        <w:tc>
          <w:tcPr>
            <w:tcW w:w="1760" w:type="dxa"/>
            <w:tcBorders>
              <w:top w:val="nil"/>
              <w:left w:val="nil"/>
              <w:bottom w:val="single" w:sz="8" w:space="0" w:color="auto"/>
              <w:right w:val="single" w:sz="4" w:space="0" w:color="auto"/>
            </w:tcBorders>
            <w:shd w:val="clear" w:color="auto" w:fill="auto"/>
            <w:hideMark/>
          </w:tcPr>
          <w:p w14:paraId="05759C9C" w14:textId="77777777" w:rsidR="00C04F06" w:rsidRPr="00995AAB" w:rsidRDefault="00C04F06" w:rsidP="00C04F06">
            <w:pPr>
              <w:rPr>
                <w:rFonts w:ascii="Calibri" w:hAnsi="Calibri"/>
                <w:color w:val="000000"/>
                <w:sz w:val="16"/>
                <w:szCs w:val="16"/>
                <w:lang w:val="en-GB"/>
              </w:rPr>
            </w:pPr>
            <w:r w:rsidRPr="00995AAB">
              <w:rPr>
                <w:rFonts w:ascii="Calibri" w:hAnsi="Calibri"/>
                <w:color w:val="000000"/>
                <w:sz w:val="16"/>
                <w:szCs w:val="16"/>
                <w:lang w:val="en-GB"/>
              </w:rPr>
              <w:t> </w:t>
            </w:r>
          </w:p>
        </w:tc>
        <w:tc>
          <w:tcPr>
            <w:tcW w:w="1760" w:type="dxa"/>
            <w:tcBorders>
              <w:top w:val="nil"/>
              <w:left w:val="nil"/>
              <w:bottom w:val="single" w:sz="8" w:space="0" w:color="auto"/>
              <w:right w:val="nil"/>
            </w:tcBorders>
            <w:shd w:val="clear" w:color="auto" w:fill="auto"/>
            <w:hideMark/>
          </w:tcPr>
          <w:p w14:paraId="0C05C4B9" w14:textId="77777777" w:rsidR="00C04F06" w:rsidRPr="00995AAB" w:rsidRDefault="00C04F06" w:rsidP="00C04F06">
            <w:pPr>
              <w:rPr>
                <w:rFonts w:ascii="Calibri" w:hAnsi="Calibri"/>
                <w:color w:val="000000"/>
                <w:sz w:val="16"/>
                <w:szCs w:val="16"/>
                <w:lang w:val="en-GB"/>
              </w:rPr>
            </w:pPr>
            <w:r w:rsidRPr="00995AAB">
              <w:rPr>
                <w:rFonts w:ascii="Calibri" w:hAnsi="Calibri"/>
                <w:color w:val="000000"/>
                <w:sz w:val="16"/>
                <w:szCs w:val="16"/>
                <w:lang w:val="en-GB"/>
              </w:rPr>
              <w:t> </w:t>
            </w:r>
          </w:p>
        </w:tc>
        <w:tc>
          <w:tcPr>
            <w:tcW w:w="1760" w:type="dxa"/>
            <w:tcBorders>
              <w:top w:val="nil"/>
              <w:left w:val="single" w:sz="4" w:space="0" w:color="auto"/>
              <w:bottom w:val="single" w:sz="8" w:space="0" w:color="auto"/>
              <w:right w:val="single" w:sz="8" w:space="0" w:color="auto"/>
            </w:tcBorders>
            <w:shd w:val="clear" w:color="auto" w:fill="auto"/>
            <w:noWrap/>
            <w:vAlign w:val="bottom"/>
            <w:hideMark/>
          </w:tcPr>
          <w:p w14:paraId="54589B96" w14:textId="77777777" w:rsidR="00C04F06" w:rsidRPr="00995AAB" w:rsidRDefault="00C04F06" w:rsidP="00C04F06">
            <w:pPr>
              <w:rPr>
                <w:rFonts w:ascii="Calibri" w:hAnsi="Calibri"/>
                <w:color w:val="000000"/>
                <w:sz w:val="16"/>
                <w:szCs w:val="16"/>
                <w:lang w:val="en-GB"/>
              </w:rPr>
            </w:pPr>
            <w:r w:rsidRPr="00995AAB">
              <w:rPr>
                <w:rFonts w:ascii="Calibri" w:hAnsi="Calibri"/>
                <w:color w:val="000000"/>
                <w:sz w:val="16"/>
                <w:szCs w:val="16"/>
                <w:lang w:val="en-GB"/>
              </w:rPr>
              <w:t> </w:t>
            </w:r>
          </w:p>
        </w:tc>
      </w:tr>
    </w:tbl>
    <w:p w14:paraId="00E8C8B7" w14:textId="77777777" w:rsidR="00BA31A9" w:rsidRPr="00995AAB" w:rsidRDefault="00BA31A9" w:rsidP="00BA31A9">
      <w:pPr>
        <w:rPr>
          <w:lang w:val="en-GB"/>
        </w:rPr>
      </w:pPr>
    </w:p>
    <w:p w14:paraId="7D68C93A" w14:textId="77777777" w:rsidR="00265DD1" w:rsidRPr="00995AAB" w:rsidRDefault="00265DD1" w:rsidP="00CB1801">
      <w:pPr>
        <w:pStyle w:val="Heading4"/>
        <w:rPr>
          <w:lang w:val="en-GB"/>
        </w:rPr>
      </w:pPr>
      <w:r w:rsidRPr="00995AAB">
        <w:rPr>
          <w:lang w:val="en-GB"/>
        </w:rPr>
        <w:t>Attributes</w:t>
      </w:r>
    </w:p>
    <w:p w14:paraId="37FCB17B" w14:textId="77777777" w:rsidR="00AD0C70" w:rsidRPr="00995AAB" w:rsidRDefault="00AD0C70" w:rsidP="00AD0C70">
      <w:pPr>
        <w:rPr>
          <w:lang w:val="en-GB"/>
        </w:rPr>
      </w:pPr>
      <w:r w:rsidRPr="00995AAB">
        <w:rPr>
          <w:lang w:val="en-GB"/>
        </w:rPr>
        <w:t>The Table is populated with the following attributes</w:t>
      </w:r>
      <w:r w:rsidR="000E264B">
        <w:rPr>
          <w:lang w:val="en-GB"/>
        </w:rPr>
        <w:t xml:space="preserve"> at time T (09:30.00, 11:30.00, 13:30.00, 15:30.00 UTC)</w:t>
      </w:r>
      <w:r w:rsidR="008B0BFA">
        <w:rPr>
          <w:lang w:val="en-GB"/>
        </w:rPr>
        <w:t xml:space="preserve"> as per RTS 25</w:t>
      </w:r>
      <w:r w:rsidR="000E264B">
        <w:rPr>
          <w:lang w:val="en-GB"/>
        </w:rPr>
        <w:t>:</w:t>
      </w:r>
    </w:p>
    <w:p w14:paraId="743180FD" w14:textId="77777777" w:rsidR="00C13298" w:rsidRPr="00995AAB" w:rsidRDefault="00C13298" w:rsidP="00C13298">
      <w:pPr>
        <w:rPr>
          <w:lang w:val="en-GB"/>
        </w:rPr>
      </w:pPr>
      <w:r w:rsidRPr="00995AAB">
        <w:rPr>
          <w:lang w:val="en-GB"/>
        </w:rPr>
        <w:t>7a)</w:t>
      </w:r>
      <w:r w:rsidRPr="00995AAB">
        <w:rPr>
          <w:lang w:val="en-GB"/>
        </w:rPr>
        <w:tab/>
        <w:t>best bid price</w:t>
      </w:r>
    </w:p>
    <w:p w14:paraId="2A2E6ACA" w14:textId="77777777" w:rsidR="00C13298" w:rsidRPr="00995AAB" w:rsidRDefault="00C13298" w:rsidP="00C13298">
      <w:pPr>
        <w:rPr>
          <w:lang w:val="en-GB"/>
        </w:rPr>
      </w:pPr>
      <w:r w:rsidRPr="00995AAB">
        <w:rPr>
          <w:lang w:val="en-GB"/>
        </w:rPr>
        <w:t>7b)</w:t>
      </w:r>
      <w:r w:rsidRPr="00995AAB">
        <w:rPr>
          <w:lang w:val="en-GB"/>
        </w:rPr>
        <w:tab/>
        <w:t>best offer price</w:t>
      </w:r>
    </w:p>
    <w:p w14:paraId="51C38B0B" w14:textId="77777777" w:rsidR="00C13298" w:rsidRPr="00995AAB" w:rsidRDefault="00C13298" w:rsidP="00C13298">
      <w:pPr>
        <w:rPr>
          <w:lang w:val="en-GB"/>
        </w:rPr>
      </w:pPr>
      <w:r w:rsidRPr="00995AAB">
        <w:rPr>
          <w:lang w:val="en-GB"/>
        </w:rPr>
        <w:t>7c)</w:t>
      </w:r>
      <w:r w:rsidRPr="00995AAB">
        <w:rPr>
          <w:lang w:val="en-GB"/>
        </w:rPr>
        <w:tab/>
        <w:t>Bid size corresponding to Best Bid Price</w:t>
      </w:r>
    </w:p>
    <w:p w14:paraId="55B9FFA9" w14:textId="77777777" w:rsidR="00C13298" w:rsidRPr="00995AAB" w:rsidRDefault="00C13298" w:rsidP="00C13298">
      <w:pPr>
        <w:rPr>
          <w:lang w:val="en-GB"/>
        </w:rPr>
      </w:pPr>
      <w:r w:rsidRPr="00995AAB">
        <w:rPr>
          <w:lang w:val="en-GB"/>
        </w:rPr>
        <w:t>7d)</w:t>
      </w:r>
      <w:r w:rsidRPr="00995AAB">
        <w:rPr>
          <w:lang w:val="en-GB"/>
        </w:rPr>
        <w:tab/>
        <w:t>Offer size corresponding to Best Offer Price</w:t>
      </w:r>
    </w:p>
    <w:p w14:paraId="5B91C7FD" w14:textId="77777777" w:rsidR="00C04F06" w:rsidRPr="00995AAB" w:rsidRDefault="00C13298" w:rsidP="00C13298">
      <w:pPr>
        <w:ind w:left="720" w:hanging="720"/>
        <w:rPr>
          <w:lang w:val="en-GB"/>
        </w:rPr>
      </w:pPr>
      <w:r w:rsidRPr="00995AAB">
        <w:rPr>
          <w:lang w:val="en-GB"/>
        </w:rPr>
        <w:t>7e)</w:t>
      </w:r>
      <w:r w:rsidRPr="00995AAB">
        <w:rPr>
          <w:lang w:val="en-GB"/>
        </w:rPr>
        <w:tab/>
        <w:t>Book depth with 3 price increments where book depth means the total available liquidity expressed as the product of price and volume of all bids and offers for a specified number of price increments from the mid- point of the best bid and offer</w:t>
      </w:r>
    </w:p>
    <w:p w14:paraId="02B22DB3" w14:textId="693FA916" w:rsidR="00D70E81" w:rsidRDefault="00D70E81">
      <w:pPr>
        <w:rPr>
          <w:lang w:val="en-GB"/>
        </w:rPr>
      </w:pPr>
      <w:r>
        <w:rPr>
          <w:b/>
          <w:bCs/>
          <w:lang w:val="en-GB"/>
        </w:rPr>
        <w:br w:type="page"/>
      </w:r>
    </w:p>
    <w:p w14:paraId="088FD804" w14:textId="77777777" w:rsidR="00091238" w:rsidRDefault="00DF2938" w:rsidP="002005D5">
      <w:pPr>
        <w:pStyle w:val="Heading3"/>
        <w:rPr>
          <w:lang w:val="en-GB"/>
        </w:rPr>
      </w:pPr>
      <w:bookmarkStart w:id="56" w:name="_Toc495562564"/>
      <w:r w:rsidRPr="00995AAB">
        <w:rPr>
          <w:lang w:val="en-GB"/>
        </w:rPr>
        <w:lastRenderedPageBreak/>
        <w:t xml:space="preserve">Table 8 – </w:t>
      </w:r>
      <w:r w:rsidR="00393DDF" w:rsidRPr="00732AC1">
        <w:rPr>
          <w:lang w:val="en-GB"/>
        </w:rPr>
        <w:t xml:space="preserve">- additional information by continuous auction order book and continuous quote driven execution venues </w:t>
      </w:r>
      <w:r w:rsidR="00393DDF">
        <w:rPr>
          <w:lang w:val="en-GB"/>
        </w:rPr>
        <w:t>– daily (</w:t>
      </w:r>
      <w:r w:rsidRPr="00995AAB">
        <w:rPr>
          <w:lang w:val="en-GB"/>
        </w:rPr>
        <w:t xml:space="preserve">Article </w:t>
      </w:r>
      <w:r w:rsidR="002005D5" w:rsidRPr="00995AAB">
        <w:rPr>
          <w:lang w:val="en-GB"/>
        </w:rPr>
        <w:t>7(2)/(3)</w:t>
      </w:r>
      <w:r w:rsidR="00393DDF">
        <w:rPr>
          <w:lang w:val="en-GB"/>
        </w:rPr>
        <w:t>)</w:t>
      </w:r>
      <w:bookmarkEnd w:id="56"/>
    </w:p>
    <w:p w14:paraId="115EB679" w14:textId="77777777" w:rsidR="00DF2938" w:rsidRPr="00995AAB" w:rsidRDefault="00091238" w:rsidP="00995AAB">
      <w:pPr>
        <w:rPr>
          <w:rFonts w:ascii="Times New Roman" w:hAnsi="Times New Roman"/>
          <w:szCs w:val="17"/>
          <w:lang w:val="en-GB" w:eastAsia="en-GB"/>
        </w:rPr>
      </w:pPr>
      <w:r>
        <w:t>Execution Venues operating under a continuous auction order book, continuous quote driven trading system or other type of trading system for which that information is available shall publish for each market segment they operate and each financial instrument</w:t>
      </w:r>
      <w:r>
        <w:rPr>
          <w:rStyle w:val="apple-converted-space"/>
        </w:rPr>
        <w:t> </w:t>
      </w:r>
    </w:p>
    <w:p w14:paraId="798B0015" w14:textId="77777777" w:rsidR="00265DD1" w:rsidRPr="00995AAB" w:rsidRDefault="00265DD1" w:rsidP="00CB1801">
      <w:pPr>
        <w:pStyle w:val="Heading4"/>
        <w:rPr>
          <w:lang w:val="en-GB"/>
        </w:rPr>
      </w:pPr>
      <w:r w:rsidRPr="00995AAB">
        <w:rPr>
          <w:lang w:val="en-GB"/>
        </w:rPr>
        <w:t>Table Format</w:t>
      </w:r>
      <w:r w:rsidR="00715242">
        <w:rPr>
          <w:lang w:val="en-GB"/>
        </w:rPr>
        <w:t xml:space="preserve"> (one table per instrument per market segment per day)</w:t>
      </w:r>
    </w:p>
    <w:tbl>
      <w:tblPr>
        <w:tblW w:w="5960" w:type="dxa"/>
        <w:tblLook w:val="04A0" w:firstRow="1" w:lastRow="0" w:firstColumn="1" w:lastColumn="0" w:noHBand="0" w:noVBand="1"/>
      </w:tblPr>
      <w:tblGrid>
        <w:gridCol w:w="4200"/>
        <w:gridCol w:w="1760"/>
      </w:tblGrid>
      <w:tr w:rsidR="003537AE" w:rsidRPr="00080375" w14:paraId="07515A30" w14:textId="77777777" w:rsidTr="003537AE">
        <w:trPr>
          <w:trHeight w:val="320"/>
        </w:trPr>
        <w:tc>
          <w:tcPr>
            <w:tcW w:w="4200" w:type="dxa"/>
            <w:tcBorders>
              <w:top w:val="single" w:sz="8" w:space="0" w:color="auto"/>
              <w:left w:val="single" w:sz="8" w:space="0" w:color="auto"/>
              <w:bottom w:val="single" w:sz="4" w:space="0" w:color="auto"/>
              <w:right w:val="single" w:sz="4" w:space="0" w:color="auto"/>
            </w:tcBorders>
            <w:shd w:val="clear" w:color="000000" w:fill="D9D9D9"/>
            <w:hideMark/>
          </w:tcPr>
          <w:p w14:paraId="648F292A" w14:textId="77777777" w:rsidR="003537AE" w:rsidRPr="00995AAB" w:rsidRDefault="003537AE" w:rsidP="003537AE">
            <w:pPr>
              <w:rPr>
                <w:rFonts w:ascii="Calibri" w:hAnsi="Calibri"/>
                <w:color w:val="000000"/>
                <w:sz w:val="16"/>
                <w:szCs w:val="16"/>
                <w:lang w:val="en-GB"/>
              </w:rPr>
            </w:pPr>
            <w:r w:rsidRPr="00995AAB">
              <w:rPr>
                <w:rFonts w:ascii="Calibri" w:hAnsi="Calibri"/>
                <w:color w:val="000000"/>
                <w:sz w:val="16"/>
                <w:szCs w:val="16"/>
                <w:lang w:val="en-GB"/>
              </w:rPr>
              <w:t>Average effective spread</w:t>
            </w:r>
          </w:p>
        </w:tc>
        <w:tc>
          <w:tcPr>
            <w:tcW w:w="1760" w:type="dxa"/>
            <w:tcBorders>
              <w:top w:val="single" w:sz="8" w:space="0" w:color="auto"/>
              <w:left w:val="nil"/>
              <w:bottom w:val="single" w:sz="4" w:space="0" w:color="auto"/>
              <w:right w:val="single" w:sz="8" w:space="0" w:color="auto"/>
            </w:tcBorders>
            <w:shd w:val="clear" w:color="auto" w:fill="auto"/>
            <w:hideMark/>
          </w:tcPr>
          <w:p w14:paraId="632B1855" w14:textId="77777777" w:rsidR="003537AE" w:rsidRPr="00995AAB" w:rsidRDefault="003537AE" w:rsidP="003537AE">
            <w:pPr>
              <w:rPr>
                <w:rFonts w:ascii="Calibri" w:hAnsi="Calibri"/>
                <w:color w:val="FF0000"/>
                <w:sz w:val="16"/>
                <w:szCs w:val="16"/>
                <w:lang w:val="en-GB"/>
              </w:rPr>
            </w:pPr>
            <w:r w:rsidRPr="00995AAB">
              <w:rPr>
                <w:rFonts w:ascii="Calibri" w:hAnsi="Calibri"/>
                <w:color w:val="FF0000"/>
                <w:sz w:val="16"/>
                <w:szCs w:val="16"/>
                <w:lang w:val="en-GB"/>
              </w:rPr>
              <w:t>8a)</w:t>
            </w:r>
          </w:p>
        </w:tc>
      </w:tr>
      <w:tr w:rsidR="003537AE" w:rsidRPr="00080375" w14:paraId="7A877437" w14:textId="77777777" w:rsidTr="003537AE">
        <w:trPr>
          <w:trHeight w:val="320"/>
        </w:trPr>
        <w:tc>
          <w:tcPr>
            <w:tcW w:w="4200" w:type="dxa"/>
            <w:tcBorders>
              <w:top w:val="nil"/>
              <w:left w:val="single" w:sz="8" w:space="0" w:color="auto"/>
              <w:bottom w:val="single" w:sz="4" w:space="0" w:color="auto"/>
              <w:right w:val="single" w:sz="4" w:space="0" w:color="auto"/>
            </w:tcBorders>
            <w:shd w:val="clear" w:color="000000" w:fill="D9D9D9"/>
            <w:hideMark/>
          </w:tcPr>
          <w:p w14:paraId="56FD86BA" w14:textId="77777777" w:rsidR="003537AE" w:rsidRPr="00995AAB" w:rsidRDefault="003537AE" w:rsidP="003537AE">
            <w:pPr>
              <w:rPr>
                <w:rFonts w:ascii="Calibri" w:hAnsi="Calibri"/>
                <w:color w:val="000000"/>
                <w:sz w:val="16"/>
                <w:szCs w:val="16"/>
                <w:lang w:val="en-GB"/>
              </w:rPr>
            </w:pPr>
            <w:r w:rsidRPr="00995AAB">
              <w:rPr>
                <w:rFonts w:ascii="Calibri" w:hAnsi="Calibri"/>
                <w:color w:val="000000"/>
                <w:sz w:val="16"/>
                <w:szCs w:val="16"/>
                <w:lang w:val="en-GB"/>
              </w:rPr>
              <w:t>Average volume at best bid and offer</w:t>
            </w:r>
          </w:p>
        </w:tc>
        <w:tc>
          <w:tcPr>
            <w:tcW w:w="1760" w:type="dxa"/>
            <w:tcBorders>
              <w:top w:val="nil"/>
              <w:left w:val="nil"/>
              <w:bottom w:val="single" w:sz="4" w:space="0" w:color="auto"/>
              <w:right w:val="single" w:sz="8" w:space="0" w:color="auto"/>
            </w:tcBorders>
            <w:shd w:val="clear" w:color="auto" w:fill="auto"/>
            <w:hideMark/>
          </w:tcPr>
          <w:p w14:paraId="57267C9D" w14:textId="77777777" w:rsidR="003537AE" w:rsidRPr="00995AAB" w:rsidRDefault="003537AE" w:rsidP="003537AE">
            <w:pPr>
              <w:rPr>
                <w:rFonts w:ascii="Calibri" w:hAnsi="Calibri"/>
                <w:color w:val="FF0000"/>
                <w:sz w:val="16"/>
                <w:szCs w:val="16"/>
                <w:lang w:val="en-GB"/>
              </w:rPr>
            </w:pPr>
            <w:r w:rsidRPr="00995AAB">
              <w:rPr>
                <w:rFonts w:ascii="Calibri" w:hAnsi="Calibri"/>
                <w:color w:val="FF0000"/>
                <w:sz w:val="16"/>
                <w:szCs w:val="16"/>
                <w:lang w:val="en-GB"/>
              </w:rPr>
              <w:t>8b)</w:t>
            </w:r>
          </w:p>
        </w:tc>
      </w:tr>
      <w:tr w:rsidR="003537AE" w:rsidRPr="00080375" w14:paraId="07B80FDA" w14:textId="77777777" w:rsidTr="003537AE">
        <w:trPr>
          <w:trHeight w:val="320"/>
        </w:trPr>
        <w:tc>
          <w:tcPr>
            <w:tcW w:w="4200" w:type="dxa"/>
            <w:tcBorders>
              <w:top w:val="nil"/>
              <w:left w:val="single" w:sz="8" w:space="0" w:color="auto"/>
              <w:bottom w:val="single" w:sz="4" w:space="0" w:color="auto"/>
              <w:right w:val="single" w:sz="4" w:space="0" w:color="auto"/>
            </w:tcBorders>
            <w:shd w:val="clear" w:color="000000" w:fill="D9D9D9"/>
            <w:hideMark/>
          </w:tcPr>
          <w:p w14:paraId="39825260" w14:textId="77777777" w:rsidR="003537AE" w:rsidRPr="00995AAB" w:rsidRDefault="003537AE" w:rsidP="003537AE">
            <w:pPr>
              <w:rPr>
                <w:rFonts w:ascii="Calibri" w:hAnsi="Calibri"/>
                <w:color w:val="000000"/>
                <w:sz w:val="16"/>
                <w:szCs w:val="16"/>
                <w:lang w:val="en-GB"/>
              </w:rPr>
            </w:pPr>
            <w:r w:rsidRPr="00995AAB">
              <w:rPr>
                <w:rFonts w:ascii="Calibri" w:hAnsi="Calibri"/>
                <w:color w:val="000000"/>
                <w:sz w:val="16"/>
                <w:szCs w:val="16"/>
                <w:lang w:val="en-GB"/>
              </w:rPr>
              <w:t>Average Spread at best bid and offer</w:t>
            </w:r>
          </w:p>
        </w:tc>
        <w:tc>
          <w:tcPr>
            <w:tcW w:w="1760" w:type="dxa"/>
            <w:tcBorders>
              <w:top w:val="nil"/>
              <w:left w:val="nil"/>
              <w:bottom w:val="single" w:sz="4" w:space="0" w:color="auto"/>
              <w:right w:val="single" w:sz="8" w:space="0" w:color="auto"/>
            </w:tcBorders>
            <w:shd w:val="clear" w:color="auto" w:fill="auto"/>
            <w:hideMark/>
          </w:tcPr>
          <w:p w14:paraId="579EF208" w14:textId="77777777" w:rsidR="003537AE" w:rsidRPr="00995AAB" w:rsidRDefault="003537AE" w:rsidP="003537AE">
            <w:pPr>
              <w:rPr>
                <w:rFonts w:ascii="Calibri" w:hAnsi="Calibri"/>
                <w:color w:val="FF0000"/>
                <w:sz w:val="16"/>
                <w:szCs w:val="16"/>
                <w:lang w:val="en-GB"/>
              </w:rPr>
            </w:pPr>
            <w:r w:rsidRPr="00995AAB">
              <w:rPr>
                <w:rFonts w:ascii="Calibri" w:hAnsi="Calibri"/>
                <w:color w:val="FF0000"/>
                <w:sz w:val="16"/>
                <w:szCs w:val="16"/>
                <w:lang w:val="en-GB"/>
              </w:rPr>
              <w:t>8c)</w:t>
            </w:r>
          </w:p>
        </w:tc>
      </w:tr>
      <w:tr w:rsidR="003537AE" w:rsidRPr="00080375" w14:paraId="59D43942" w14:textId="77777777" w:rsidTr="003537AE">
        <w:trPr>
          <w:trHeight w:val="320"/>
        </w:trPr>
        <w:tc>
          <w:tcPr>
            <w:tcW w:w="4200" w:type="dxa"/>
            <w:tcBorders>
              <w:top w:val="nil"/>
              <w:left w:val="single" w:sz="8" w:space="0" w:color="auto"/>
              <w:bottom w:val="single" w:sz="4" w:space="0" w:color="auto"/>
              <w:right w:val="single" w:sz="4" w:space="0" w:color="auto"/>
            </w:tcBorders>
            <w:shd w:val="clear" w:color="000000" w:fill="D9D9D9"/>
            <w:hideMark/>
          </w:tcPr>
          <w:p w14:paraId="3B44C3BC" w14:textId="77777777" w:rsidR="003537AE" w:rsidRPr="00995AAB" w:rsidRDefault="003537AE" w:rsidP="003537AE">
            <w:pPr>
              <w:rPr>
                <w:rFonts w:ascii="Calibri" w:hAnsi="Calibri"/>
                <w:color w:val="000000"/>
                <w:sz w:val="16"/>
                <w:szCs w:val="16"/>
                <w:lang w:val="en-GB"/>
              </w:rPr>
            </w:pPr>
            <w:r w:rsidRPr="00995AAB">
              <w:rPr>
                <w:rFonts w:ascii="Calibri" w:hAnsi="Calibri"/>
                <w:color w:val="000000"/>
                <w:sz w:val="16"/>
                <w:szCs w:val="16"/>
                <w:lang w:val="en-GB"/>
              </w:rPr>
              <w:t>Number of canc</w:t>
            </w:r>
            <w:r w:rsidR="0030262D" w:rsidRPr="00995AAB">
              <w:rPr>
                <w:rFonts w:ascii="Calibri" w:hAnsi="Calibri"/>
                <w:color w:val="000000"/>
                <w:sz w:val="16"/>
                <w:szCs w:val="16"/>
                <w:lang w:val="en-GB"/>
              </w:rPr>
              <w:t>e</w:t>
            </w:r>
            <w:r w:rsidRPr="00995AAB">
              <w:rPr>
                <w:rFonts w:ascii="Calibri" w:hAnsi="Calibri"/>
                <w:color w:val="000000"/>
                <w:sz w:val="16"/>
                <w:szCs w:val="16"/>
                <w:lang w:val="en-GB"/>
              </w:rPr>
              <w:t>llations at best bid and offer</w:t>
            </w:r>
          </w:p>
        </w:tc>
        <w:tc>
          <w:tcPr>
            <w:tcW w:w="1760" w:type="dxa"/>
            <w:tcBorders>
              <w:top w:val="nil"/>
              <w:left w:val="nil"/>
              <w:bottom w:val="single" w:sz="4" w:space="0" w:color="auto"/>
              <w:right w:val="single" w:sz="8" w:space="0" w:color="auto"/>
            </w:tcBorders>
            <w:shd w:val="clear" w:color="auto" w:fill="auto"/>
            <w:hideMark/>
          </w:tcPr>
          <w:p w14:paraId="5815DD36" w14:textId="77777777" w:rsidR="003537AE" w:rsidRPr="00995AAB" w:rsidRDefault="003537AE" w:rsidP="003537AE">
            <w:pPr>
              <w:rPr>
                <w:rFonts w:ascii="Calibri" w:hAnsi="Calibri"/>
                <w:color w:val="FF0000"/>
                <w:sz w:val="16"/>
                <w:szCs w:val="16"/>
                <w:lang w:val="en-GB"/>
              </w:rPr>
            </w:pPr>
            <w:r w:rsidRPr="00995AAB">
              <w:rPr>
                <w:rFonts w:ascii="Calibri" w:hAnsi="Calibri"/>
                <w:color w:val="FF0000"/>
                <w:sz w:val="16"/>
                <w:szCs w:val="16"/>
                <w:lang w:val="en-GB"/>
              </w:rPr>
              <w:t>8d)</w:t>
            </w:r>
          </w:p>
        </w:tc>
      </w:tr>
      <w:tr w:rsidR="003537AE" w:rsidRPr="00080375" w14:paraId="5AA7C4A4" w14:textId="77777777" w:rsidTr="003537AE">
        <w:trPr>
          <w:trHeight w:val="320"/>
        </w:trPr>
        <w:tc>
          <w:tcPr>
            <w:tcW w:w="4200" w:type="dxa"/>
            <w:tcBorders>
              <w:top w:val="nil"/>
              <w:left w:val="single" w:sz="8" w:space="0" w:color="auto"/>
              <w:bottom w:val="single" w:sz="4" w:space="0" w:color="auto"/>
              <w:right w:val="single" w:sz="4" w:space="0" w:color="auto"/>
            </w:tcBorders>
            <w:shd w:val="clear" w:color="000000" w:fill="D9D9D9"/>
            <w:hideMark/>
          </w:tcPr>
          <w:p w14:paraId="3DA56E3F" w14:textId="77777777" w:rsidR="003537AE" w:rsidRPr="00995AAB" w:rsidRDefault="003537AE" w:rsidP="003537AE">
            <w:pPr>
              <w:rPr>
                <w:rFonts w:ascii="Calibri" w:hAnsi="Calibri"/>
                <w:color w:val="000000"/>
                <w:sz w:val="16"/>
                <w:szCs w:val="16"/>
                <w:lang w:val="en-GB"/>
              </w:rPr>
            </w:pPr>
            <w:r w:rsidRPr="00995AAB">
              <w:rPr>
                <w:rFonts w:ascii="Calibri" w:hAnsi="Calibri"/>
                <w:color w:val="000000"/>
                <w:sz w:val="16"/>
                <w:szCs w:val="16"/>
                <w:lang w:val="en-GB"/>
              </w:rPr>
              <w:t xml:space="preserve">Number of modifications at best bid and offer </w:t>
            </w:r>
          </w:p>
        </w:tc>
        <w:tc>
          <w:tcPr>
            <w:tcW w:w="1760" w:type="dxa"/>
            <w:tcBorders>
              <w:top w:val="nil"/>
              <w:left w:val="nil"/>
              <w:bottom w:val="single" w:sz="4" w:space="0" w:color="auto"/>
              <w:right w:val="single" w:sz="8" w:space="0" w:color="auto"/>
            </w:tcBorders>
            <w:shd w:val="clear" w:color="auto" w:fill="auto"/>
            <w:hideMark/>
          </w:tcPr>
          <w:p w14:paraId="0E83357D" w14:textId="77777777" w:rsidR="003537AE" w:rsidRPr="00995AAB" w:rsidRDefault="003537AE" w:rsidP="003537AE">
            <w:pPr>
              <w:rPr>
                <w:rFonts w:ascii="Calibri" w:hAnsi="Calibri"/>
                <w:color w:val="FF0000"/>
                <w:sz w:val="16"/>
                <w:szCs w:val="16"/>
                <w:lang w:val="en-GB"/>
              </w:rPr>
            </w:pPr>
            <w:r w:rsidRPr="00995AAB">
              <w:rPr>
                <w:rFonts w:ascii="Calibri" w:hAnsi="Calibri"/>
                <w:color w:val="FF0000"/>
                <w:sz w:val="16"/>
                <w:szCs w:val="16"/>
                <w:lang w:val="en-GB"/>
              </w:rPr>
              <w:t>8e)</w:t>
            </w:r>
          </w:p>
        </w:tc>
      </w:tr>
      <w:tr w:rsidR="003537AE" w:rsidRPr="00080375" w14:paraId="4A88CB59" w14:textId="77777777" w:rsidTr="003537AE">
        <w:trPr>
          <w:trHeight w:val="320"/>
        </w:trPr>
        <w:tc>
          <w:tcPr>
            <w:tcW w:w="4200" w:type="dxa"/>
            <w:tcBorders>
              <w:top w:val="nil"/>
              <w:left w:val="single" w:sz="8" w:space="0" w:color="auto"/>
              <w:bottom w:val="single" w:sz="4" w:space="0" w:color="auto"/>
              <w:right w:val="single" w:sz="4" w:space="0" w:color="auto"/>
            </w:tcBorders>
            <w:shd w:val="clear" w:color="000000" w:fill="D9D9D9"/>
            <w:hideMark/>
          </w:tcPr>
          <w:p w14:paraId="712FA550" w14:textId="77777777" w:rsidR="003537AE" w:rsidRPr="00995AAB" w:rsidRDefault="003537AE" w:rsidP="003537AE">
            <w:pPr>
              <w:rPr>
                <w:rFonts w:ascii="Calibri" w:hAnsi="Calibri"/>
                <w:color w:val="000000"/>
                <w:sz w:val="16"/>
                <w:szCs w:val="16"/>
                <w:lang w:val="en-GB"/>
              </w:rPr>
            </w:pPr>
            <w:r w:rsidRPr="00995AAB">
              <w:rPr>
                <w:rFonts w:ascii="Calibri" w:hAnsi="Calibri"/>
                <w:color w:val="000000"/>
                <w:sz w:val="16"/>
                <w:szCs w:val="16"/>
                <w:lang w:val="en-GB"/>
              </w:rPr>
              <w:t>Average book depth at 3 price increments</w:t>
            </w:r>
          </w:p>
        </w:tc>
        <w:tc>
          <w:tcPr>
            <w:tcW w:w="1760" w:type="dxa"/>
            <w:tcBorders>
              <w:top w:val="nil"/>
              <w:left w:val="nil"/>
              <w:bottom w:val="single" w:sz="4" w:space="0" w:color="auto"/>
              <w:right w:val="single" w:sz="8" w:space="0" w:color="auto"/>
            </w:tcBorders>
            <w:shd w:val="clear" w:color="auto" w:fill="auto"/>
            <w:hideMark/>
          </w:tcPr>
          <w:p w14:paraId="4BE5D0D1" w14:textId="77777777" w:rsidR="003537AE" w:rsidRPr="00995AAB" w:rsidRDefault="003537AE" w:rsidP="003537AE">
            <w:pPr>
              <w:rPr>
                <w:rFonts w:ascii="Calibri" w:hAnsi="Calibri"/>
                <w:color w:val="FF0000"/>
                <w:sz w:val="16"/>
                <w:szCs w:val="16"/>
                <w:lang w:val="en-GB"/>
              </w:rPr>
            </w:pPr>
            <w:r w:rsidRPr="00995AAB">
              <w:rPr>
                <w:rFonts w:ascii="Calibri" w:hAnsi="Calibri"/>
                <w:color w:val="FF0000"/>
                <w:sz w:val="16"/>
                <w:szCs w:val="16"/>
                <w:lang w:val="en-GB"/>
              </w:rPr>
              <w:t>8f)</w:t>
            </w:r>
          </w:p>
        </w:tc>
      </w:tr>
      <w:tr w:rsidR="003537AE" w:rsidRPr="00080375" w14:paraId="3E1730AE" w14:textId="77777777" w:rsidTr="003537AE">
        <w:trPr>
          <w:trHeight w:val="880"/>
        </w:trPr>
        <w:tc>
          <w:tcPr>
            <w:tcW w:w="4200" w:type="dxa"/>
            <w:tcBorders>
              <w:top w:val="nil"/>
              <w:left w:val="single" w:sz="8" w:space="0" w:color="auto"/>
              <w:bottom w:val="single" w:sz="4" w:space="0" w:color="auto"/>
              <w:right w:val="single" w:sz="4" w:space="0" w:color="auto"/>
            </w:tcBorders>
            <w:shd w:val="clear" w:color="000000" w:fill="D9D9D9"/>
            <w:hideMark/>
          </w:tcPr>
          <w:p w14:paraId="7CEE04F9" w14:textId="77777777" w:rsidR="003537AE" w:rsidRPr="00995AAB" w:rsidRDefault="003537AE" w:rsidP="003537AE">
            <w:pPr>
              <w:rPr>
                <w:rFonts w:ascii="Calibri" w:hAnsi="Calibri"/>
                <w:color w:val="000000"/>
                <w:sz w:val="16"/>
                <w:szCs w:val="16"/>
                <w:lang w:val="en-GB"/>
              </w:rPr>
            </w:pPr>
            <w:r w:rsidRPr="00995AAB">
              <w:rPr>
                <w:rFonts w:ascii="Calibri" w:hAnsi="Calibri"/>
                <w:color w:val="000000"/>
                <w:sz w:val="16"/>
                <w:szCs w:val="16"/>
                <w:lang w:val="en-GB"/>
              </w:rPr>
              <w:t xml:space="preserve">Mean time elapsed (to the </w:t>
            </w:r>
            <w:r w:rsidR="00080375" w:rsidRPr="00995AAB">
              <w:rPr>
                <w:rFonts w:ascii="Calibri" w:hAnsi="Calibri"/>
                <w:color w:val="000000"/>
                <w:sz w:val="16"/>
                <w:szCs w:val="16"/>
                <w:lang w:val="en-GB"/>
              </w:rPr>
              <w:t>mi</w:t>
            </w:r>
            <w:r w:rsidR="00080375">
              <w:rPr>
                <w:rFonts w:ascii="Calibri" w:hAnsi="Calibri"/>
                <w:color w:val="000000"/>
                <w:sz w:val="16"/>
                <w:szCs w:val="16"/>
                <w:lang w:val="en-GB"/>
              </w:rPr>
              <w:t>lli</w:t>
            </w:r>
            <w:r w:rsidR="0030262D" w:rsidRPr="00995AAB">
              <w:rPr>
                <w:rFonts w:ascii="Calibri" w:hAnsi="Calibri"/>
                <w:color w:val="000000"/>
                <w:sz w:val="16"/>
                <w:szCs w:val="16"/>
                <w:lang w:val="en-GB"/>
              </w:rPr>
              <w:t>-</w:t>
            </w:r>
            <w:r w:rsidRPr="00995AAB">
              <w:rPr>
                <w:rFonts w:ascii="Calibri" w:hAnsi="Calibri"/>
                <w:color w:val="000000"/>
                <w:sz w:val="16"/>
                <w:szCs w:val="16"/>
                <w:lang w:val="en-GB"/>
              </w:rPr>
              <w:t>second)</w:t>
            </w:r>
            <w:r w:rsidRPr="00995AAB">
              <w:rPr>
                <w:rFonts w:ascii="Calibri" w:hAnsi="Calibri"/>
                <w:color w:val="000000"/>
                <w:sz w:val="16"/>
                <w:szCs w:val="16"/>
                <w:lang w:val="en-GB"/>
              </w:rPr>
              <w:br/>
              <w:t>between an aggressive order or quote acceptance being received by the execution venue and the subsequent total or partial execution</w:t>
            </w:r>
          </w:p>
        </w:tc>
        <w:tc>
          <w:tcPr>
            <w:tcW w:w="1760" w:type="dxa"/>
            <w:tcBorders>
              <w:top w:val="nil"/>
              <w:left w:val="nil"/>
              <w:bottom w:val="single" w:sz="4" w:space="0" w:color="auto"/>
              <w:right w:val="single" w:sz="8" w:space="0" w:color="auto"/>
            </w:tcBorders>
            <w:shd w:val="clear" w:color="auto" w:fill="auto"/>
            <w:hideMark/>
          </w:tcPr>
          <w:p w14:paraId="5241B706" w14:textId="77777777" w:rsidR="003537AE" w:rsidRPr="00995AAB" w:rsidRDefault="003537AE" w:rsidP="003537AE">
            <w:pPr>
              <w:rPr>
                <w:rFonts w:ascii="Calibri" w:hAnsi="Calibri"/>
                <w:color w:val="FF0000"/>
                <w:sz w:val="16"/>
                <w:szCs w:val="16"/>
                <w:lang w:val="en-GB"/>
              </w:rPr>
            </w:pPr>
            <w:r w:rsidRPr="00995AAB">
              <w:rPr>
                <w:rFonts w:ascii="Calibri" w:hAnsi="Calibri"/>
                <w:color w:val="FF0000"/>
                <w:sz w:val="16"/>
                <w:szCs w:val="16"/>
                <w:lang w:val="en-GB"/>
              </w:rPr>
              <w:t>8g)</w:t>
            </w:r>
          </w:p>
        </w:tc>
      </w:tr>
      <w:tr w:rsidR="003537AE" w:rsidRPr="00080375" w14:paraId="4CB90EB7" w14:textId="77777777" w:rsidTr="003537AE">
        <w:trPr>
          <w:trHeight w:val="660"/>
        </w:trPr>
        <w:tc>
          <w:tcPr>
            <w:tcW w:w="4200" w:type="dxa"/>
            <w:tcBorders>
              <w:top w:val="nil"/>
              <w:left w:val="single" w:sz="8" w:space="0" w:color="auto"/>
              <w:bottom w:val="single" w:sz="4" w:space="0" w:color="auto"/>
              <w:right w:val="single" w:sz="4" w:space="0" w:color="auto"/>
            </w:tcBorders>
            <w:shd w:val="clear" w:color="000000" w:fill="D9D9D9"/>
            <w:hideMark/>
          </w:tcPr>
          <w:p w14:paraId="1AB35256" w14:textId="77777777" w:rsidR="003537AE" w:rsidRPr="00995AAB" w:rsidRDefault="003537AE" w:rsidP="003537AE">
            <w:pPr>
              <w:rPr>
                <w:rFonts w:ascii="Calibri" w:hAnsi="Calibri"/>
                <w:color w:val="000000"/>
                <w:sz w:val="16"/>
                <w:szCs w:val="16"/>
                <w:lang w:val="en-GB"/>
              </w:rPr>
            </w:pPr>
            <w:r w:rsidRPr="00995AAB">
              <w:rPr>
                <w:rFonts w:ascii="Calibri" w:hAnsi="Calibri"/>
                <w:color w:val="000000"/>
                <w:sz w:val="16"/>
                <w:szCs w:val="16"/>
                <w:lang w:val="en-GB"/>
              </w:rPr>
              <w:t>Median time elapsed (to the mili-second) between a market order being received by the execution venue and the subsequent total or partial execution</w:t>
            </w:r>
          </w:p>
        </w:tc>
        <w:tc>
          <w:tcPr>
            <w:tcW w:w="1760" w:type="dxa"/>
            <w:tcBorders>
              <w:top w:val="nil"/>
              <w:left w:val="nil"/>
              <w:bottom w:val="single" w:sz="4" w:space="0" w:color="auto"/>
              <w:right w:val="single" w:sz="8" w:space="0" w:color="auto"/>
            </w:tcBorders>
            <w:shd w:val="clear" w:color="auto" w:fill="auto"/>
            <w:hideMark/>
          </w:tcPr>
          <w:p w14:paraId="6C6A7FE3" w14:textId="77777777" w:rsidR="003537AE" w:rsidRPr="00995AAB" w:rsidRDefault="003537AE" w:rsidP="003537AE">
            <w:pPr>
              <w:rPr>
                <w:rFonts w:ascii="Calibri" w:hAnsi="Calibri"/>
                <w:color w:val="FF0000"/>
                <w:sz w:val="16"/>
                <w:szCs w:val="16"/>
                <w:lang w:val="en-GB"/>
              </w:rPr>
            </w:pPr>
            <w:r w:rsidRPr="00995AAB">
              <w:rPr>
                <w:rFonts w:ascii="Calibri" w:hAnsi="Calibri"/>
                <w:color w:val="FF0000"/>
                <w:sz w:val="16"/>
                <w:szCs w:val="16"/>
                <w:lang w:val="en-GB"/>
              </w:rPr>
              <w:t>8h)</w:t>
            </w:r>
          </w:p>
        </w:tc>
      </w:tr>
      <w:tr w:rsidR="003537AE" w:rsidRPr="00080375" w14:paraId="45021A5A" w14:textId="77777777" w:rsidTr="003537AE">
        <w:trPr>
          <w:trHeight w:val="440"/>
        </w:trPr>
        <w:tc>
          <w:tcPr>
            <w:tcW w:w="4200" w:type="dxa"/>
            <w:tcBorders>
              <w:top w:val="nil"/>
              <w:left w:val="single" w:sz="8" w:space="0" w:color="auto"/>
              <w:bottom w:val="single" w:sz="4" w:space="0" w:color="auto"/>
              <w:right w:val="single" w:sz="4" w:space="0" w:color="auto"/>
            </w:tcBorders>
            <w:shd w:val="clear" w:color="000000" w:fill="D9D9D9"/>
            <w:hideMark/>
          </w:tcPr>
          <w:p w14:paraId="72766801" w14:textId="77777777" w:rsidR="003537AE" w:rsidRPr="00995AAB" w:rsidRDefault="003537AE" w:rsidP="003537AE">
            <w:pPr>
              <w:rPr>
                <w:rFonts w:ascii="Calibri" w:hAnsi="Calibri"/>
                <w:color w:val="000000"/>
                <w:sz w:val="16"/>
                <w:szCs w:val="16"/>
                <w:lang w:val="en-GB"/>
              </w:rPr>
            </w:pPr>
            <w:r w:rsidRPr="00995AAB">
              <w:rPr>
                <w:rFonts w:ascii="Calibri" w:hAnsi="Calibri"/>
                <w:color w:val="000000"/>
                <w:sz w:val="16"/>
                <w:szCs w:val="16"/>
                <w:lang w:val="en-GB"/>
              </w:rPr>
              <w:t>Average speed of execution for unmodified passive orders at best bid and offer</w:t>
            </w:r>
          </w:p>
        </w:tc>
        <w:tc>
          <w:tcPr>
            <w:tcW w:w="1760" w:type="dxa"/>
            <w:tcBorders>
              <w:top w:val="nil"/>
              <w:left w:val="nil"/>
              <w:bottom w:val="single" w:sz="4" w:space="0" w:color="auto"/>
              <w:right w:val="single" w:sz="8" w:space="0" w:color="auto"/>
            </w:tcBorders>
            <w:shd w:val="clear" w:color="auto" w:fill="auto"/>
            <w:hideMark/>
          </w:tcPr>
          <w:p w14:paraId="4380F349" w14:textId="77777777" w:rsidR="003537AE" w:rsidRPr="00995AAB" w:rsidRDefault="003537AE" w:rsidP="003537AE">
            <w:pPr>
              <w:rPr>
                <w:rFonts w:ascii="Calibri" w:hAnsi="Calibri"/>
                <w:color w:val="FF0000"/>
                <w:sz w:val="16"/>
                <w:szCs w:val="16"/>
                <w:lang w:val="en-GB"/>
              </w:rPr>
            </w:pPr>
            <w:r w:rsidRPr="00995AAB">
              <w:rPr>
                <w:rFonts w:ascii="Calibri" w:hAnsi="Calibri"/>
                <w:color w:val="FF0000"/>
                <w:sz w:val="16"/>
                <w:szCs w:val="16"/>
                <w:lang w:val="en-GB"/>
              </w:rPr>
              <w:t>8i)</w:t>
            </w:r>
          </w:p>
        </w:tc>
      </w:tr>
      <w:tr w:rsidR="003537AE" w:rsidRPr="00080375" w14:paraId="77610ACD" w14:textId="77777777" w:rsidTr="003537AE">
        <w:trPr>
          <w:trHeight w:val="320"/>
        </w:trPr>
        <w:tc>
          <w:tcPr>
            <w:tcW w:w="4200" w:type="dxa"/>
            <w:tcBorders>
              <w:top w:val="nil"/>
              <w:left w:val="single" w:sz="8" w:space="0" w:color="auto"/>
              <w:bottom w:val="single" w:sz="4" w:space="0" w:color="auto"/>
              <w:right w:val="single" w:sz="4" w:space="0" w:color="auto"/>
            </w:tcBorders>
            <w:shd w:val="clear" w:color="000000" w:fill="D9D9D9"/>
            <w:hideMark/>
          </w:tcPr>
          <w:p w14:paraId="7CB9B892" w14:textId="77777777" w:rsidR="003537AE" w:rsidRPr="00995AAB" w:rsidRDefault="003537AE" w:rsidP="003537AE">
            <w:pPr>
              <w:rPr>
                <w:rFonts w:ascii="Calibri" w:hAnsi="Calibri"/>
                <w:color w:val="000000"/>
                <w:sz w:val="16"/>
                <w:szCs w:val="16"/>
                <w:lang w:val="en-GB"/>
              </w:rPr>
            </w:pPr>
            <w:r w:rsidRPr="00995AAB">
              <w:rPr>
                <w:rFonts w:ascii="Calibri" w:hAnsi="Calibri"/>
                <w:color w:val="000000"/>
                <w:sz w:val="16"/>
                <w:szCs w:val="16"/>
                <w:lang w:val="en-GB"/>
              </w:rPr>
              <w:t>Number of Fill or Kill orders that failed</w:t>
            </w:r>
          </w:p>
        </w:tc>
        <w:tc>
          <w:tcPr>
            <w:tcW w:w="1760" w:type="dxa"/>
            <w:tcBorders>
              <w:top w:val="nil"/>
              <w:left w:val="nil"/>
              <w:bottom w:val="single" w:sz="4" w:space="0" w:color="auto"/>
              <w:right w:val="single" w:sz="8" w:space="0" w:color="auto"/>
            </w:tcBorders>
            <w:shd w:val="clear" w:color="auto" w:fill="auto"/>
            <w:hideMark/>
          </w:tcPr>
          <w:p w14:paraId="7BEABCFC" w14:textId="77777777" w:rsidR="003537AE" w:rsidRPr="00995AAB" w:rsidRDefault="003537AE" w:rsidP="003537AE">
            <w:pPr>
              <w:rPr>
                <w:rFonts w:ascii="Calibri" w:hAnsi="Calibri"/>
                <w:color w:val="FF0000"/>
                <w:sz w:val="16"/>
                <w:szCs w:val="16"/>
                <w:lang w:val="en-GB"/>
              </w:rPr>
            </w:pPr>
            <w:r w:rsidRPr="00995AAB">
              <w:rPr>
                <w:rFonts w:ascii="Calibri" w:hAnsi="Calibri"/>
                <w:color w:val="FF0000"/>
                <w:sz w:val="16"/>
                <w:szCs w:val="16"/>
                <w:lang w:val="en-GB"/>
              </w:rPr>
              <w:t>8j)</w:t>
            </w:r>
          </w:p>
        </w:tc>
      </w:tr>
      <w:tr w:rsidR="003537AE" w:rsidRPr="00080375" w14:paraId="0F3D26BB" w14:textId="77777777" w:rsidTr="003537AE">
        <w:trPr>
          <w:trHeight w:val="320"/>
        </w:trPr>
        <w:tc>
          <w:tcPr>
            <w:tcW w:w="4200" w:type="dxa"/>
            <w:tcBorders>
              <w:top w:val="nil"/>
              <w:left w:val="single" w:sz="8" w:space="0" w:color="auto"/>
              <w:bottom w:val="single" w:sz="4" w:space="0" w:color="auto"/>
              <w:right w:val="single" w:sz="4" w:space="0" w:color="auto"/>
            </w:tcBorders>
            <w:shd w:val="clear" w:color="000000" w:fill="D9D9D9"/>
            <w:hideMark/>
          </w:tcPr>
          <w:p w14:paraId="60E85308" w14:textId="77777777" w:rsidR="003537AE" w:rsidRPr="00995AAB" w:rsidRDefault="003537AE" w:rsidP="003537AE">
            <w:pPr>
              <w:rPr>
                <w:rFonts w:ascii="Calibri" w:hAnsi="Calibri"/>
                <w:color w:val="000000"/>
                <w:sz w:val="16"/>
                <w:szCs w:val="16"/>
                <w:lang w:val="en-GB"/>
              </w:rPr>
            </w:pPr>
            <w:r w:rsidRPr="00995AAB">
              <w:rPr>
                <w:rFonts w:ascii="Calibri" w:hAnsi="Calibri"/>
                <w:color w:val="000000"/>
                <w:sz w:val="16"/>
                <w:szCs w:val="16"/>
                <w:lang w:val="en-GB"/>
              </w:rPr>
              <w:t>Number of Immediate or Cancel orders that got zero fill</w:t>
            </w:r>
          </w:p>
        </w:tc>
        <w:tc>
          <w:tcPr>
            <w:tcW w:w="1760" w:type="dxa"/>
            <w:tcBorders>
              <w:top w:val="nil"/>
              <w:left w:val="nil"/>
              <w:bottom w:val="single" w:sz="4" w:space="0" w:color="auto"/>
              <w:right w:val="single" w:sz="8" w:space="0" w:color="auto"/>
            </w:tcBorders>
            <w:shd w:val="clear" w:color="auto" w:fill="auto"/>
            <w:hideMark/>
          </w:tcPr>
          <w:p w14:paraId="4BC63DC9" w14:textId="77777777" w:rsidR="003537AE" w:rsidRPr="00995AAB" w:rsidRDefault="003537AE" w:rsidP="003537AE">
            <w:pPr>
              <w:rPr>
                <w:rFonts w:ascii="Calibri" w:hAnsi="Calibri"/>
                <w:color w:val="FF0000"/>
                <w:sz w:val="16"/>
                <w:szCs w:val="16"/>
                <w:lang w:val="en-GB"/>
              </w:rPr>
            </w:pPr>
            <w:r w:rsidRPr="00995AAB">
              <w:rPr>
                <w:rFonts w:ascii="Calibri" w:hAnsi="Calibri"/>
                <w:color w:val="FF0000"/>
                <w:sz w:val="16"/>
                <w:szCs w:val="16"/>
                <w:lang w:val="en-GB"/>
              </w:rPr>
              <w:t>8k)</w:t>
            </w:r>
          </w:p>
        </w:tc>
      </w:tr>
      <w:tr w:rsidR="003537AE" w:rsidRPr="00080375" w14:paraId="73872213" w14:textId="77777777" w:rsidTr="003537AE">
        <w:trPr>
          <w:trHeight w:val="660"/>
        </w:trPr>
        <w:tc>
          <w:tcPr>
            <w:tcW w:w="4200" w:type="dxa"/>
            <w:tcBorders>
              <w:top w:val="nil"/>
              <w:left w:val="single" w:sz="8" w:space="0" w:color="auto"/>
              <w:bottom w:val="single" w:sz="4" w:space="0" w:color="auto"/>
              <w:right w:val="single" w:sz="4" w:space="0" w:color="auto"/>
            </w:tcBorders>
            <w:shd w:val="clear" w:color="000000" w:fill="D9D9D9"/>
            <w:hideMark/>
          </w:tcPr>
          <w:p w14:paraId="38039E30" w14:textId="77777777" w:rsidR="003537AE" w:rsidRPr="00995AAB" w:rsidRDefault="003537AE" w:rsidP="003537AE">
            <w:pPr>
              <w:rPr>
                <w:rFonts w:ascii="Calibri" w:hAnsi="Calibri"/>
                <w:color w:val="000000"/>
                <w:sz w:val="16"/>
                <w:szCs w:val="16"/>
                <w:lang w:val="en-GB"/>
              </w:rPr>
            </w:pPr>
            <w:r w:rsidRPr="00995AAB">
              <w:rPr>
                <w:rFonts w:ascii="Calibri" w:hAnsi="Calibri"/>
                <w:color w:val="000000"/>
                <w:sz w:val="16"/>
                <w:szCs w:val="16"/>
                <w:lang w:val="en-GB"/>
              </w:rPr>
              <w:t>Number of transactions executed on the trading venue that are Large in Scale pursuant to Article 4 or 9 of Regulation (EU) No 600/2014</w:t>
            </w:r>
          </w:p>
        </w:tc>
        <w:tc>
          <w:tcPr>
            <w:tcW w:w="1760" w:type="dxa"/>
            <w:tcBorders>
              <w:top w:val="nil"/>
              <w:left w:val="nil"/>
              <w:bottom w:val="single" w:sz="4" w:space="0" w:color="auto"/>
              <w:right w:val="single" w:sz="8" w:space="0" w:color="auto"/>
            </w:tcBorders>
            <w:shd w:val="clear" w:color="auto" w:fill="auto"/>
            <w:hideMark/>
          </w:tcPr>
          <w:p w14:paraId="7DD8717F" w14:textId="77777777" w:rsidR="003537AE" w:rsidRPr="00995AAB" w:rsidRDefault="003537AE" w:rsidP="003537AE">
            <w:pPr>
              <w:rPr>
                <w:rFonts w:ascii="Calibri" w:hAnsi="Calibri"/>
                <w:color w:val="FF0000"/>
                <w:sz w:val="16"/>
                <w:szCs w:val="16"/>
                <w:lang w:val="en-GB"/>
              </w:rPr>
            </w:pPr>
            <w:r w:rsidRPr="00995AAB">
              <w:rPr>
                <w:rFonts w:ascii="Calibri" w:hAnsi="Calibri"/>
                <w:color w:val="FF0000"/>
                <w:sz w:val="16"/>
                <w:szCs w:val="16"/>
                <w:lang w:val="en-GB"/>
              </w:rPr>
              <w:t>8l)</w:t>
            </w:r>
          </w:p>
        </w:tc>
      </w:tr>
      <w:tr w:rsidR="003537AE" w:rsidRPr="00080375" w14:paraId="6A282A87" w14:textId="77777777" w:rsidTr="003537AE">
        <w:trPr>
          <w:trHeight w:val="660"/>
        </w:trPr>
        <w:tc>
          <w:tcPr>
            <w:tcW w:w="4200" w:type="dxa"/>
            <w:tcBorders>
              <w:top w:val="nil"/>
              <w:left w:val="single" w:sz="8" w:space="0" w:color="auto"/>
              <w:bottom w:val="single" w:sz="4" w:space="0" w:color="auto"/>
              <w:right w:val="single" w:sz="4" w:space="0" w:color="auto"/>
            </w:tcBorders>
            <w:shd w:val="clear" w:color="000000" w:fill="D9D9D9"/>
            <w:hideMark/>
          </w:tcPr>
          <w:p w14:paraId="2233265E" w14:textId="77777777" w:rsidR="003537AE" w:rsidRPr="00995AAB" w:rsidRDefault="003537AE" w:rsidP="003537AE">
            <w:pPr>
              <w:rPr>
                <w:rFonts w:ascii="Calibri" w:hAnsi="Calibri"/>
                <w:color w:val="000000"/>
                <w:sz w:val="16"/>
                <w:szCs w:val="16"/>
                <w:lang w:val="en-GB"/>
              </w:rPr>
            </w:pPr>
            <w:r w:rsidRPr="00995AAB">
              <w:rPr>
                <w:rFonts w:ascii="Calibri" w:hAnsi="Calibri"/>
                <w:color w:val="000000"/>
                <w:sz w:val="16"/>
                <w:szCs w:val="16"/>
                <w:lang w:val="en-GB"/>
              </w:rPr>
              <w:t>Value of transactions executed on the trading venue that are Large in Scale pursuant to Article 4 or 9 of Regulation (EU) No 600/2014</w:t>
            </w:r>
          </w:p>
        </w:tc>
        <w:tc>
          <w:tcPr>
            <w:tcW w:w="1760" w:type="dxa"/>
            <w:tcBorders>
              <w:top w:val="nil"/>
              <w:left w:val="nil"/>
              <w:bottom w:val="single" w:sz="4" w:space="0" w:color="auto"/>
              <w:right w:val="single" w:sz="8" w:space="0" w:color="auto"/>
            </w:tcBorders>
            <w:shd w:val="clear" w:color="auto" w:fill="auto"/>
            <w:hideMark/>
          </w:tcPr>
          <w:p w14:paraId="1F53BA8B" w14:textId="77777777" w:rsidR="003537AE" w:rsidRPr="00995AAB" w:rsidRDefault="003537AE" w:rsidP="003537AE">
            <w:pPr>
              <w:rPr>
                <w:rFonts w:ascii="Calibri" w:hAnsi="Calibri"/>
                <w:color w:val="FF0000"/>
                <w:sz w:val="16"/>
                <w:szCs w:val="16"/>
                <w:lang w:val="en-GB"/>
              </w:rPr>
            </w:pPr>
            <w:r w:rsidRPr="00995AAB">
              <w:rPr>
                <w:rFonts w:ascii="Calibri" w:hAnsi="Calibri"/>
                <w:color w:val="FF0000"/>
                <w:sz w:val="16"/>
                <w:szCs w:val="16"/>
                <w:lang w:val="en-GB"/>
              </w:rPr>
              <w:t>8m)</w:t>
            </w:r>
          </w:p>
        </w:tc>
      </w:tr>
      <w:tr w:rsidR="003537AE" w:rsidRPr="00080375" w14:paraId="2A5C8247" w14:textId="77777777" w:rsidTr="003537AE">
        <w:trPr>
          <w:trHeight w:val="880"/>
        </w:trPr>
        <w:tc>
          <w:tcPr>
            <w:tcW w:w="4200" w:type="dxa"/>
            <w:tcBorders>
              <w:top w:val="nil"/>
              <w:left w:val="single" w:sz="8" w:space="0" w:color="auto"/>
              <w:bottom w:val="single" w:sz="4" w:space="0" w:color="auto"/>
              <w:right w:val="single" w:sz="4" w:space="0" w:color="auto"/>
            </w:tcBorders>
            <w:shd w:val="clear" w:color="000000" w:fill="D9D9D9"/>
            <w:hideMark/>
          </w:tcPr>
          <w:p w14:paraId="21F47A8D" w14:textId="77777777" w:rsidR="003537AE" w:rsidRPr="00995AAB" w:rsidRDefault="003537AE" w:rsidP="003537AE">
            <w:pPr>
              <w:rPr>
                <w:rFonts w:ascii="Calibri" w:hAnsi="Calibri"/>
                <w:color w:val="000000"/>
                <w:sz w:val="16"/>
                <w:szCs w:val="16"/>
                <w:lang w:val="en-GB"/>
              </w:rPr>
            </w:pPr>
            <w:r w:rsidRPr="00995AAB">
              <w:rPr>
                <w:rFonts w:ascii="Calibri" w:hAnsi="Calibri"/>
                <w:color w:val="000000"/>
                <w:sz w:val="16"/>
                <w:szCs w:val="16"/>
                <w:lang w:val="en-GB"/>
              </w:rPr>
              <w:t>Number of transactions that were executed on</w:t>
            </w:r>
            <w:r w:rsidRPr="00995AAB">
              <w:rPr>
                <w:rFonts w:ascii="Calibri" w:hAnsi="Calibri"/>
                <w:color w:val="000000"/>
                <w:sz w:val="16"/>
                <w:szCs w:val="16"/>
                <w:lang w:val="en-GB"/>
              </w:rPr>
              <w:br/>
              <w:t>the trading venue pursuant to Article 4 or 9 of MiFIR, except for orders that are held in an order management facility of the trading venue pending disclosure and not Large in Scale</w:t>
            </w:r>
          </w:p>
        </w:tc>
        <w:tc>
          <w:tcPr>
            <w:tcW w:w="1760" w:type="dxa"/>
            <w:tcBorders>
              <w:top w:val="nil"/>
              <w:left w:val="nil"/>
              <w:bottom w:val="single" w:sz="4" w:space="0" w:color="auto"/>
              <w:right w:val="single" w:sz="8" w:space="0" w:color="auto"/>
            </w:tcBorders>
            <w:shd w:val="clear" w:color="auto" w:fill="auto"/>
            <w:hideMark/>
          </w:tcPr>
          <w:p w14:paraId="3B0E3037" w14:textId="77777777" w:rsidR="003537AE" w:rsidRPr="00995AAB" w:rsidRDefault="003537AE" w:rsidP="003537AE">
            <w:pPr>
              <w:rPr>
                <w:rFonts w:ascii="Calibri" w:hAnsi="Calibri"/>
                <w:color w:val="FF0000"/>
                <w:sz w:val="16"/>
                <w:szCs w:val="16"/>
                <w:lang w:val="en-GB"/>
              </w:rPr>
            </w:pPr>
            <w:r w:rsidRPr="00995AAB">
              <w:rPr>
                <w:rFonts w:ascii="Calibri" w:hAnsi="Calibri"/>
                <w:color w:val="FF0000"/>
                <w:sz w:val="16"/>
                <w:szCs w:val="16"/>
                <w:lang w:val="en-GB"/>
              </w:rPr>
              <w:t>8n)</w:t>
            </w:r>
          </w:p>
        </w:tc>
      </w:tr>
      <w:tr w:rsidR="003537AE" w:rsidRPr="00080375" w14:paraId="4A1EC3B2" w14:textId="77777777" w:rsidTr="003537AE">
        <w:trPr>
          <w:trHeight w:val="880"/>
        </w:trPr>
        <w:tc>
          <w:tcPr>
            <w:tcW w:w="4200" w:type="dxa"/>
            <w:tcBorders>
              <w:top w:val="nil"/>
              <w:left w:val="single" w:sz="8" w:space="0" w:color="auto"/>
              <w:bottom w:val="single" w:sz="4" w:space="0" w:color="auto"/>
              <w:right w:val="single" w:sz="4" w:space="0" w:color="auto"/>
            </w:tcBorders>
            <w:shd w:val="clear" w:color="000000" w:fill="D9D9D9"/>
            <w:hideMark/>
          </w:tcPr>
          <w:p w14:paraId="39FE9E88" w14:textId="77777777" w:rsidR="003537AE" w:rsidRPr="00995AAB" w:rsidRDefault="003537AE" w:rsidP="003537AE">
            <w:pPr>
              <w:rPr>
                <w:rFonts w:ascii="Calibri" w:hAnsi="Calibri"/>
                <w:color w:val="000000"/>
                <w:sz w:val="16"/>
                <w:szCs w:val="16"/>
                <w:lang w:val="en-GB"/>
              </w:rPr>
            </w:pPr>
            <w:r w:rsidRPr="00995AAB">
              <w:rPr>
                <w:rFonts w:ascii="Calibri" w:hAnsi="Calibri"/>
                <w:color w:val="000000"/>
                <w:sz w:val="16"/>
                <w:szCs w:val="16"/>
                <w:lang w:val="en-GB"/>
              </w:rPr>
              <w:t>Value of transactions that were executed on the trading venue pursuant to Article 4 or 9 of MiFIR, except for orders that are held in an order management facility of the trading venue pending disclosure and not Large in Scale</w:t>
            </w:r>
          </w:p>
        </w:tc>
        <w:tc>
          <w:tcPr>
            <w:tcW w:w="1760" w:type="dxa"/>
            <w:tcBorders>
              <w:top w:val="nil"/>
              <w:left w:val="nil"/>
              <w:bottom w:val="single" w:sz="4" w:space="0" w:color="auto"/>
              <w:right w:val="single" w:sz="8" w:space="0" w:color="auto"/>
            </w:tcBorders>
            <w:shd w:val="clear" w:color="auto" w:fill="auto"/>
            <w:hideMark/>
          </w:tcPr>
          <w:p w14:paraId="78149ED8" w14:textId="77777777" w:rsidR="003537AE" w:rsidRPr="00995AAB" w:rsidRDefault="003537AE" w:rsidP="003537AE">
            <w:pPr>
              <w:rPr>
                <w:rFonts w:ascii="Calibri" w:hAnsi="Calibri"/>
                <w:color w:val="FF0000"/>
                <w:sz w:val="16"/>
                <w:szCs w:val="16"/>
                <w:lang w:val="en-GB"/>
              </w:rPr>
            </w:pPr>
            <w:r w:rsidRPr="00995AAB">
              <w:rPr>
                <w:rFonts w:ascii="Calibri" w:hAnsi="Calibri"/>
                <w:color w:val="FF0000"/>
                <w:sz w:val="16"/>
                <w:szCs w:val="16"/>
                <w:lang w:val="en-GB"/>
              </w:rPr>
              <w:t>8o)</w:t>
            </w:r>
          </w:p>
        </w:tc>
      </w:tr>
      <w:tr w:rsidR="003537AE" w:rsidRPr="00080375" w14:paraId="2DDE341B" w14:textId="77777777" w:rsidTr="003537AE">
        <w:trPr>
          <w:trHeight w:val="320"/>
        </w:trPr>
        <w:tc>
          <w:tcPr>
            <w:tcW w:w="4200" w:type="dxa"/>
            <w:tcBorders>
              <w:top w:val="nil"/>
              <w:left w:val="single" w:sz="8" w:space="0" w:color="auto"/>
              <w:bottom w:val="single" w:sz="4" w:space="0" w:color="auto"/>
              <w:right w:val="single" w:sz="4" w:space="0" w:color="auto"/>
            </w:tcBorders>
            <w:shd w:val="clear" w:color="000000" w:fill="D9D9D9"/>
            <w:hideMark/>
          </w:tcPr>
          <w:p w14:paraId="19466DFD" w14:textId="77777777" w:rsidR="003537AE" w:rsidRPr="00995AAB" w:rsidRDefault="003537AE" w:rsidP="003537AE">
            <w:pPr>
              <w:rPr>
                <w:rFonts w:ascii="Calibri" w:hAnsi="Calibri"/>
                <w:color w:val="000000"/>
                <w:sz w:val="16"/>
                <w:szCs w:val="16"/>
                <w:lang w:val="en-GB"/>
              </w:rPr>
            </w:pPr>
            <w:r w:rsidRPr="00995AAB">
              <w:rPr>
                <w:rFonts w:ascii="Calibri" w:hAnsi="Calibri"/>
                <w:color w:val="000000"/>
                <w:sz w:val="16"/>
                <w:szCs w:val="16"/>
                <w:lang w:val="en-GB"/>
              </w:rPr>
              <w:t>Number of trading interruptions</w:t>
            </w:r>
          </w:p>
        </w:tc>
        <w:tc>
          <w:tcPr>
            <w:tcW w:w="1760" w:type="dxa"/>
            <w:tcBorders>
              <w:top w:val="nil"/>
              <w:left w:val="nil"/>
              <w:bottom w:val="single" w:sz="4" w:space="0" w:color="auto"/>
              <w:right w:val="single" w:sz="8" w:space="0" w:color="auto"/>
            </w:tcBorders>
            <w:shd w:val="clear" w:color="auto" w:fill="auto"/>
            <w:hideMark/>
          </w:tcPr>
          <w:p w14:paraId="3DF65315" w14:textId="77777777" w:rsidR="003537AE" w:rsidRPr="00995AAB" w:rsidRDefault="003537AE" w:rsidP="003537AE">
            <w:pPr>
              <w:rPr>
                <w:rFonts w:ascii="Calibri" w:hAnsi="Calibri"/>
                <w:color w:val="FF0000"/>
                <w:sz w:val="16"/>
                <w:szCs w:val="16"/>
                <w:lang w:val="en-GB"/>
              </w:rPr>
            </w:pPr>
            <w:r w:rsidRPr="00995AAB">
              <w:rPr>
                <w:rFonts w:ascii="Calibri" w:hAnsi="Calibri"/>
                <w:color w:val="FF0000"/>
                <w:sz w:val="16"/>
                <w:szCs w:val="16"/>
                <w:lang w:val="en-GB"/>
              </w:rPr>
              <w:t>8p)</w:t>
            </w:r>
          </w:p>
        </w:tc>
      </w:tr>
      <w:tr w:rsidR="003537AE" w:rsidRPr="00080375" w14:paraId="76BAC0D8" w14:textId="77777777" w:rsidTr="003537AE">
        <w:trPr>
          <w:trHeight w:val="320"/>
        </w:trPr>
        <w:tc>
          <w:tcPr>
            <w:tcW w:w="4200" w:type="dxa"/>
            <w:tcBorders>
              <w:top w:val="nil"/>
              <w:left w:val="single" w:sz="8" w:space="0" w:color="auto"/>
              <w:bottom w:val="single" w:sz="4" w:space="0" w:color="auto"/>
              <w:right w:val="single" w:sz="4" w:space="0" w:color="auto"/>
            </w:tcBorders>
            <w:shd w:val="clear" w:color="000000" w:fill="D9D9D9"/>
            <w:hideMark/>
          </w:tcPr>
          <w:p w14:paraId="4081C3BB" w14:textId="77777777" w:rsidR="003537AE" w:rsidRPr="00995AAB" w:rsidRDefault="003537AE" w:rsidP="003537AE">
            <w:pPr>
              <w:rPr>
                <w:rFonts w:ascii="Calibri" w:hAnsi="Calibri"/>
                <w:color w:val="000000"/>
                <w:sz w:val="16"/>
                <w:szCs w:val="16"/>
                <w:lang w:val="en-GB"/>
              </w:rPr>
            </w:pPr>
            <w:r w:rsidRPr="00995AAB">
              <w:rPr>
                <w:rFonts w:ascii="Calibri" w:hAnsi="Calibri"/>
                <w:color w:val="000000"/>
                <w:sz w:val="16"/>
                <w:szCs w:val="16"/>
                <w:lang w:val="en-GB"/>
              </w:rPr>
              <w:t>Average duration of trading interruptions</w:t>
            </w:r>
          </w:p>
        </w:tc>
        <w:tc>
          <w:tcPr>
            <w:tcW w:w="1760" w:type="dxa"/>
            <w:tcBorders>
              <w:top w:val="nil"/>
              <w:left w:val="nil"/>
              <w:bottom w:val="single" w:sz="4" w:space="0" w:color="auto"/>
              <w:right w:val="single" w:sz="8" w:space="0" w:color="auto"/>
            </w:tcBorders>
            <w:shd w:val="clear" w:color="auto" w:fill="auto"/>
            <w:hideMark/>
          </w:tcPr>
          <w:p w14:paraId="4D3EA131" w14:textId="77777777" w:rsidR="003537AE" w:rsidRPr="00995AAB" w:rsidRDefault="003537AE" w:rsidP="003537AE">
            <w:pPr>
              <w:rPr>
                <w:rFonts w:ascii="Calibri" w:hAnsi="Calibri"/>
                <w:color w:val="FF0000"/>
                <w:sz w:val="16"/>
                <w:szCs w:val="16"/>
                <w:lang w:val="en-GB"/>
              </w:rPr>
            </w:pPr>
            <w:r w:rsidRPr="00995AAB">
              <w:rPr>
                <w:rFonts w:ascii="Calibri" w:hAnsi="Calibri"/>
                <w:color w:val="FF0000"/>
                <w:sz w:val="16"/>
                <w:szCs w:val="16"/>
                <w:lang w:val="en-GB"/>
              </w:rPr>
              <w:t>8q)</w:t>
            </w:r>
          </w:p>
        </w:tc>
      </w:tr>
      <w:tr w:rsidR="003537AE" w:rsidRPr="00080375" w14:paraId="42E1C605" w14:textId="77777777" w:rsidTr="003537AE">
        <w:trPr>
          <w:trHeight w:val="320"/>
        </w:trPr>
        <w:tc>
          <w:tcPr>
            <w:tcW w:w="4200" w:type="dxa"/>
            <w:tcBorders>
              <w:top w:val="nil"/>
              <w:left w:val="single" w:sz="8" w:space="0" w:color="auto"/>
              <w:bottom w:val="single" w:sz="4" w:space="0" w:color="auto"/>
              <w:right w:val="single" w:sz="4" w:space="0" w:color="auto"/>
            </w:tcBorders>
            <w:shd w:val="clear" w:color="000000" w:fill="D9D9D9"/>
            <w:hideMark/>
          </w:tcPr>
          <w:p w14:paraId="75851BD2" w14:textId="77777777" w:rsidR="003537AE" w:rsidRPr="00995AAB" w:rsidRDefault="003537AE" w:rsidP="003537AE">
            <w:pPr>
              <w:rPr>
                <w:rFonts w:ascii="Calibri" w:hAnsi="Calibri"/>
                <w:color w:val="000000"/>
                <w:sz w:val="16"/>
                <w:szCs w:val="16"/>
                <w:lang w:val="en-GB"/>
              </w:rPr>
            </w:pPr>
            <w:r w:rsidRPr="00995AAB">
              <w:rPr>
                <w:rFonts w:ascii="Calibri" w:hAnsi="Calibri"/>
                <w:color w:val="000000"/>
                <w:sz w:val="16"/>
                <w:szCs w:val="16"/>
                <w:lang w:val="en-GB"/>
              </w:rPr>
              <w:t>Number of suspensions</w:t>
            </w:r>
          </w:p>
        </w:tc>
        <w:tc>
          <w:tcPr>
            <w:tcW w:w="1760" w:type="dxa"/>
            <w:tcBorders>
              <w:top w:val="nil"/>
              <w:left w:val="nil"/>
              <w:bottom w:val="single" w:sz="4" w:space="0" w:color="auto"/>
              <w:right w:val="single" w:sz="8" w:space="0" w:color="auto"/>
            </w:tcBorders>
            <w:shd w:val="clear" w:color="auto" w:fill="auto"/>
            <w:hideMark/>
          </w:tcPr>
          <w:p w14:paraId="0E894326" w14:textId="77777777" w:rsidR="003537AE" w:rsidRPr="00995AAB" w:rsidRDefault="003537AE" w:rsidP="003537AE">
            <w:pPr>
              <w:rPr>
                <w:rFonts w:ascii="Calibri" w:hAnsi="Calibri"/>
                <w:color w:val="FF0000"/>
                <w:sz w:val="16"/>
                <w:szCs w:val="16"/>
                <w:lang w:val="en-GB"/>
              </w:rPr>
            </w:pPr>
            <w:r w:rsidRPr="00995AAB">
              <w:rPr>
                <w:rFonts w:ascii="Calibri" w:hAnsi="Calibri"/>
                <w:color w:val="FF0000"/>
                <w:sz w:val="16"/>
                <w:szCs w:val="16"/>
                <w:lang w:val="en-GB"/>
              </w:rPr>
              <w:t>8r)</w:t>
            </w:r>
          </w:p>
        </w:tc>
      </w:tr>
      <w:tr w:rsidR="003537AE" w:rsidRPr="00080375" w14:paraId="3BC6E35E" w14:textId="77777777" w:rsidTr="003537AE">
        <w:trPr>
          <w:trHeight w:val="320"/>
        </w:trPr>
        <w:tc>
          <w:tcPr>
            <w:tcW w:w="4200" w:type="dxa"/>
            <w:tcBorders>
              <w:top w:val="nil"/>
              <w:left w:val="single" w:sz="8" w:space="0" w:color="auto"/>
              <w:bottom w:val="single" w:sz="4" w:space="0" w:color="auto"/>
              <w:right w:val="single" w:sz="4" w:space="0" w:color="auto"/>
            </w:tcBorders>
            <w:shd w:val="clear" w:color="000000" w:fill="D9D9D9"/>
            <w:hideMark/>
          </w:tcPr>
          <w:p w14:paraId="6A769703" w14:textId="77777777" w:rsidR="003537AE" w:rsidRPr="00995AAB" w:rsidRDefault="003537AE" w:rsidP="003537AE">
            <w:pPr>
              <w:rPr>
                <w:rFonts w:ascii="Calibri" w:hAnsi="Calibri"/>
                <w:color w:val="000000"/>
                <w:sz w:val="16"/>
                <w:szCs w:val="16"/>
                <w:lang w:val="en-GB"/>
              </w:rPr>
            </w:pPr>
            <w:r w:rsidRPr="00995AAB">
              <w:rPr>
                <w:rFonts w:ascii="Calibri" w:hAnsi="Calibri"/>
                <w:color w:val="000000"/>
                <w:sz w:val="16"/>
                <w:szCs w:val="16"/>
                <w:lang w:val="en-GB"/>
              </w:rPr>
              <w:t>Nature of suspensions</w:t>
            </w:r>
          </w:p>
        </w:tc>
        <w:tc>
          <w:tcPr>
            <w:tcW w:w="1760" w:type="dxa"/>
            <w:tcBorders>
              <w:top w:val="nil"/>
              <w:left w:val="nil"/>
              <w:bottom w:val="single" w:sz="4" w:space="0" w:color="auto"/>
              <w:right w:val="single" w:sz="8" w:space="0" w:color="auto"/>
            </w:tcBorders>
            <w:shd w:val="clear" w:color="auto" w:fill="auto"/>
            <w:hideMark/>
          </w:tcPr>
          <w:p w14:paraId="628C4F31" w14:textId="77777777" w:rsidR="003537AE" w:rsidRPr="00995AAB" w:rsidRDefault="003537AE" w:rsidP="003537AE">
            <w:pPr>
              <w:rPr>
                <w:rFonts w:ascii="Calibri" w:hAnsi="Calibri"/>
                <w:color w:val="FF0000"/>
                <w:sz w:val="16"/>
                <w:szCs w:val="16"/>
                <w:lang w:val="en-GB"/>
              </w:rPr>
            </w:pPr>
            <w:r w:rsidRPr="00995AAB">
              <w:rPr>
                <w:rFonts w:ascii="Calibri" w:hAnsi="Calibri"/>
                <w:color w:val="FF0000"/>
                <w:sz w:val="16"/>
                <w:szCs w:val="16"/>
                <w:lang w:val="en-GB"/>
              </w:rPr>
              <w:t>8s)</w:t>
            </w:r>
          </w:p>
        </w:tc>
      </w:tr>
      <w:tr w:rsidR="003537AE" w:rsidRPr="00080375" w14:paraId="4ECA7F5B" w14:textId="77777777" w:rsidTr="003537AE">
        <w:trPr>
          <w:trHeight w:val="320"/>
        </w:trPr>
        <w:tc>
          <w:tcPr>
            <w:tcW w:w="4200" w:type="dxa"/>
            <w:tcBorders>
              <w:top w:val="nil"/>
              <w:left w:val="single" w:sz="8" w:space="0" w:color="auto"/>
              <w:bottom w:val="single" w:sz="4" w:space="0" w:color="auto"/>
              <w:right w:val="single" w:sz="4" w:space="0" w:color="auto"/>
            </w:tcBorders>
            <w:shd w:val="clear" w:color="000000" w:fill="D9D9D9"/>
            <w:hideMark/>
          </w:tcPr>
          <w:p w14:paraId="580D5B73" w14:textId="77777777" w:rsidR="003537AE" w:rsidRPr="00995AAB" w:rsidRDefault="003537AE" w:rsidP="003537AE">
            <w:pPr>
              <w:rPr>
                <w:rFonts w:ascii="Calibri" w:hAnsi="Calibri"/>
                <w:color w:val="000000"/>
                <w:sz w:val="16"/>
                <w:szCs w:val="16"/>
                <w:lang w:val="en-GB"/>
              </w:rPr>
            </w:pPr>
            <w:r w:rsidRPr="00995AAB">
              <w:rPr>
                <w:rFonts w:ascii="Calibri" w:hAnsi="Calibri"/>
                <w:color w:val="000000"/>
                <w:sz w:val="16"/>
                <w:szCs w:val="16"/>
                <w:lang w:val="en-GB"/>
              </w:rPr>
              <w:t>Average duration of suspensions</w:t>
            </w:r>
          </w:p>
        </w:tc>
        <w:tc>
          <w:tcPr>
            <w:tcW w:w="1760" w:type="dxa"/>
            <w:tcBorders>
              <w:top w:val="nil"/>
              <w:left w:val="nil"/>
              <w:bottom w:val="single" w:sz="4" w:space="0" w:color="auto"/>
              <w:right w:val="single" w:sz="8" w:space="0" w:color="auto"/>
            </w:tcBorders>
            <w:shd w:val="clear" w:color="auto" w:fill="auto"/>
            <w:hideMark/>
          </w:tcPr>
          <w:p w14:paraId="137A1D80" w14:textId="77777777" w:rsidR="003537AE" w:rsidRPr="00995AAB" w:rsidRDefault="003537AE" w:rsidP="003537AE">
            <w:pPr>
              <w:rPr>
                <w:rFonts w:ascii="Calibri" w:hAnsi="Calibri"/>
                <w:color w:val="FF0000"/>
                <w:sz w:val="16"/>
                <w:szCs w:val="16"/>
                <w:lang w:val="en-GB"/>
              </w:rPr>
            </w:pPr>
            <w:r w:rsidRPr="00995AAB">
              <w:rPr>
                <w:rFonts w:ascii="Calibri" w:hAnsi="Calibri"/>
                <w:color w:val="FF0000"/>
                <w:sz w:val="16"/>
                <w:szCs w:val="16"/>
                <w:lang w:val="en-GB"/>
              </w:rPr>
              <w:t>8t)</w:t>
            </w:r>
          </w:p>
        </w:tc>
      </w:tr>
      <w:tr w:rsidR="003537AE" w:rsidRPr="00080375" w14:paraId="68D7D9A2" w14:textId="77777777" w:rsidTr="003537AE">
        <w:trPr>
          <w:trHeight w:val="440"/>
        </w:trPr>
        <w:tc>
          <w:tcPr>
            <w:tcW w:w="4200" w:type="dxa"/>
            <w:tcBorders>
              <w:top w:val="nil"/>
              <w:left w:val="single" w:sz="8" w:space="0" w:color="auto"/>
              <w:bottom w:val="single" w:sz="4" w:space="0" w:color="auto"/>
              <w:right w:val="single" w:sz="4" w:space="0" w:color="auto"/>
            </w:tcBorders>
            <w:shd w:val="clear" w:color="000000" w:fill="D9D9D9"/>
            <w:hideMark/>
          </w:tcPr>
          <w:p w14:paraId="4984A751" w14:textId="77777777" w:rsidR="003537AE" w:rsidRPr="00995AAB" w:rsidRDefault="003537AE" w:rsidP="003537AE">
            <w:pPr>
              <w:rPr>
                <w:rFonts w:ascii="Calibri" w:hAnsi="Calibri"/>
                <w:color w:val="000000"/>
                <w:sz w:val="16"/>
                <w:szCs w:val="16"/>
                <w:lang w:val="en-GB"/>
              </w:rPr>
            </w:pPr>
            <w:r w:rsidRPr="00995AAB">
              <w:rPr>
                <w:rFonts w:ascii="Calibri" w:hAnsi="Calibri"/>
                <w:color w:val="000000"/>
                <w:sz w:val="16"/>
                <w:szCs w:val="16"/>
                <w:lang w:val="en-GB"/>
              </w:rPr>
              <w:t>For continuous quote venues, number of periods during which no quotes were provided</w:t>
            </w:r>
          </w:p>
        </w:tc>
        <w:tc>
          <w:tcPr>
            <w:tcW w:w="1760" w:type="dxa"/>
            <w:tcBorders>
              <w:top w:val="nil"/>
              <w:left w:val="nil"/>
              <w:bottom w:val="single" w:sz="4" w:space="0" w:color="auto"/>
              <w:right w:val="single" w:sz="8" w:space="0" w:color="auto"/>
            </w:tcBorders>
            <w:shd w:val="clear" w:color="auto" w:fill="auto"/>
            <w:hideMark/>
          </w:tcPr>
          <w:p w14:paraId="01139F6D" w14:textId="77777777" w:rsidR="003537AE" w:rsidRPr="00995AAB" w:rsidRDefault="003537AE" w:rsidP="003537AE">
            <w:pPr>
              <w:rPr>
                <w:rFonts w:ascii="Calibri" w:hAnsi="Calibri"/>
                <w:color w:val="FF0000"/>
                <w:sz w:val="16"/>
                <w:szCs w:val="16"/>
                <w:lang w:val="en-GB"/>
              </w:rPr>
            </w:pPr>
            <w:r w:rsidRPr="00995AAB">
              <w:rPr>
                <w:rFonts w:ascii="Calibri" w:hAnsi="Calibri"/>
                <w:color w:val="FF0000"/>
                <w:sz w:val="16"/>
                <w:szCs w:val="16"/>
                <w:lang w:val="en-GB"/>
              </w:rPr>
              <w:t>8u)</w:t>
            </w:r>
          </w:p>
        </w:tc>
      </w:tr>
      <w:tr w:rsidR="003537AE" w:rsidRPr="00080375" w14:paraId="682890E2" w14:textId="77777777" w:rsidTr="003537AE">
        <w:trPr>
          <w:trHeight w:val="440"/>
        </w:trPr>
        <w:tc>
          <w:tcPr>
            <w:tcW w:w="4200" w:type="dxa"/>
            <w:tcBorders>
              <w:top w:val="nil"/>
              <w:left w:val="single" w:sz="8" w:space="0" w:color="auto"/>
              <w:bottom w:val="single" w:sz="4" w:space="0" w:color="auto"/>
              <w:right w:val="single" w:sz="4" w:space="0" w:color="auto"/>
            </w:tcBorders>
            <w:shd w:val="clear" w:color="000000" w:fill="D9D9D9"/>
            <w:hideMark/>
          </w:tcPr>
          <w:p w14:paraId="3BC50F2B" w14:textId="77777777" w:rsidR="003537AE" w:rsidRPr="00995AAB" w:rsidRDefault="003537AE" w:rsidP="003537AE">
            <w:pPr>
              <w:rPr>
                <w:rFonts w:ascii="Calibri" w:hAnsi="Calibri"/>
                <w:color w:val="000000"/>
                <w:sz w:val="16"/>
                <w:szCs w:val="16"/>
                <w:lang w:val="en-GB"/>
              </w:rPr>
            </w:pPr>
            <w:r w:rsidRPr="00995AAB">
              <w:rPr>
                <w:rFonts w:ascii="Calibri" w:hAnsi="Calibri"/>
                <w:color w:val="000000"/>
                <w:sz w:val="16"/>
                <w:szCs w:val="16"/>
                <w:lang w:val="en-GB"/>
              </w:rPr>
              <w:t>For continuous quote venues, average duration of periods during which no quotes were provided</w:t>
            </w:r>
          </w:p>
        </w:tc>
        <w:tc>
          <w:tcPr>
            <w:tcW w:w="1760" w:type="dxa"/>
            <w:tcBorders>
              <w:top w:val="nil"/>
              <w:left w:val="nil"/>
              <w:bottom w:val="single" w:sz="4" w:space="0" w:color="auto"/>
              <w:right w:val="single" w:sz="8" w:space="0" w:color="auto"/>
            </w:tcBorders>
            <w:shd w:val="clear" w:color="auto" w:fill="auto"/>
            <w:hideMark/>
          </w:tcPr>
          <w:p w14:paraId="11E3B878" w14:textId="77777777" w:rsidR="003537AE" w:rsidRPr="00995AAB" w:rsidRDefault="003537AE" w:rsidP="003537AE">
            <w:pPr>
              <w:rPr>
                <w:rFonts w:ascii="Calibri" w:hAnsi="Calibri"/>
                <w:color w:val="FF0000"/>
                <w:sz w:val="16"/>
                <w:szCs w:val="16"/>
                <w:lang w:val="en-GB"/>
              </w:rPr>
            </w:pPr>
            <w:r w:rsidRPr="00995AAB">
              <w:rPr>
                <w:rFonts w:ascii="Calibri" w:hAnsi="Calibri"/>
                <w:color w:val="FF0000"/>
                <w:sz w:val="16"/>
                <w:szCs w:val="16"/>
                <w:lang w:val="en-GB"/>
              </w:rPr>
              <w:t>8v)</w:t>
            </w:r>
          </w:p>
        </w:tc>
      </w:tr>
      <w:tr w:rsidR="003537AE" w:rsidRPr="00080375" w14:paraId="6460F983" w14:textId="77777777" w:rsidTr="003537AE">
        <w:trPr>
          <w:trHeight w:val="340"/>
        </w:trPr>
        <w:tc>
          <w:tcPr>
            <w:tcW w:w="4200" w:type="dxa"/>
            <w:tcBorders>
              <w:top w:val="nil"/>
              <w:left w:val="single" w:sz="8" w:space="0" w:color="auto"/>
              <w:bottom w:val="single" w:sz="8" w:space="0" w:color="auto"/>
              <w:right w:val="single" w:sz="4" w:space="0" w:color="auto"/>
            </w:tcBorders>
            <w:shd w:val="clear" w:color="000000" w:fill="D9D9D9"/>
            <w:hideMark/>
          </w:tcPr>
          <w:p w14:paraId="774B1E44" w14:textId="77777777" w:rsidR="003537AE" w:rsidRPr="00995AAB" w:rsidRDefault="003537AE" w:rsidP="003537AE">
            <w:pPr>
              <w:rPr>
                <w:rFonts w:ascii="Calibri" w:hAnsi="Calibri"/>
                <w:color w:val="000000"/>
                <w:sz w:val="16"/>
                <w:szCs w:val="16"/>
                <w:lang w:val="en-GB"/>
              </w:rPr>
            </w:pPr>
            <w:r w:rsidRPr="00995AAB">
              <w:rPr>
                <w:rFonts w:ascii="Calibri" w:hAnsi="Calibri"/>
                <w:color w:val="000000"/>
                <w:sz w:val="16"/>
                <w:szCs w:val="16"/>
                <w:lang w:val="en-GB"/>
              </w:rPr>
              <w:t>Average quote presence</w:t>
            </w:r>
          </w:p>
        </w:tc>
        <w:tc>
          <w:tcPr>
            <w:tcW w:w="1760" w:type="dxa"/>
            <w:tcBorders>
              <w:top w:val="nil"/>
              <w:left w:val="nil"/>
              <w:bottom w:val="single" w:sz="8" w:space="0" w:color="auto"/>
              <w:right w:val="single" w:sz="8" w:space="0" w:color="auto"/>
            </w:tcBorders>
            <w:shd w:val="clear" w:color="auto" w:fill="auto"/>
            <w:hideMark/>
          </w:tcPr>
          <w:p w14:paraId="17D513B0" w14:textId="77777777" w:rsidR="003537AE" w:rsidRPr="00995AAB" w:rsidRDefault="003537AE" w:rsidP="003537AE">
            <w:pPr>
              <w:rPr>
                <w:rFonts w:ascii="Calibri" w:hAnsi="Calibri"/>
                <w:color w:val="FF0000"/>
                <w:sz w:val="16"/>
                <w:szCs w:val="16"/>
                <w:lang w:val="en-GB"/>
              </w:rPr>
            </w:pPr>
            <w:r w:rsidRPr="00995AAB">
              <w:rPr>
                <w:rFonts w:ascii="Calibri" w:hAnsi="Calibri"/>
                <w:color w:val="FF0000"/>
                <w:sz w:val="16"/>
                <w:szCs w:val="16"/>
                <w:lang w:val="en-GB"/>
              </w:rPr>
              <w:t>8w)</w:t>
            </w:r>
          </w:p>
        </w:tc>
      </w:tr>
    </w:tbl>
    <w:p w14:paraId="775107BA" w14:textId="77777777" w:rsidR="003537AE" w:rsidRPr="00995AAB" w:rsidRDefault="003537AE" w:rsidP="003537AE">
      <w:pPr>
        <w:rPr>
          <w:lang w:val="en-GB"/>
        </w:rPr>
      </w:pPr>
    </w:p>
    <w:p w14:paraId="7AA27569" w14:textId="268CEA23" w:rsidR="006E2AFA" w:rsidRPr="00995AAB" w:rsidRDefault="00F842B7" w:rsidP="006E2AFA">
      <w:pPr>
        <w:rPr>
          <w:lang w:val="en-GB"/>
        </w:rPr>
      </w:pPr>
      <w:r>
        <w:rPr>
          <w:lang w:val="en-GB"/>
        </w:rPr>
        <w:t>The consensus opinion of the FIX</w:t>
      </w:r>
      <w:r w:rsidR="00543DBA" w:rsidRPr="00995AAB">
        <w:rPr>
          <w:lang w:val="en-GB"/>
        </w:rPr>
        <w:t xml:space="preserve"> Trading Community Best Execution Working Group is that the </w:t>
      </w:r>
      <w:r w:rsidR="006E2AFA" w:rsidRPr="00995AAB">
        <w:rPr>
          <w:lang w:val="en-GB"/>
        </w:rPr>
        <w:t>requirement to capture and publish the mean and median</w:t>
      </w:r>
      <w:r w:rsidR="00543DBA" w:rsidRPr="00995AAB">
        <w:rPr>
          <w:lang w:val="en-GB"/>
        </w:rPr>
        <w:t xml:space="preserve"> time from order to execution is to highlight </w:t>
      </w:r>
      <w:r w:rsidR="006E2AFA" w:rsidRPr="00995AAB">
        <w:rPr>
          <w:lang w:val="en-GB"/>
        </w:rPr>
        <w:t xml:space="preserve">differences between </w:t>
      </w:r>
      <w:r w:rsidR="00543DBA" w:rsidRPr="00995AAB">
        <w:rPr>
          <w:lang w:val="en-GB"/>
        </w:rPr>
        <w:t xml:space="preserve">similar </w:t>
      </w:r>
      <w:r w:rsidR="006E2AFA" w:rsidRPr="00995AAB">
        <w:rPr>
          <w:lang w:val="en-GB"/>
        </w:rPr>
        <w:t>methods of execution</w:t>
      </w:r>
      <w:r w:rsidR="00543DBA" w:rsidRPr="00995AAB">
        <w:rPr>
          <w:lang w:val="en-GB"/>
        </w:rPr>
        <w:t>.  Therefore</w:t>
      </w:r>
      <w:r w:rsidR="00AC77FA" w:rsidRPr="00995AAB">
        <w:rPr>
          <w:lang w:val="en-GB"/>
        </w:rPr>
        <w:t>,</w:t>
      </w:r>
      <w:r w:rsidR="00543DBA" w:rsidRPr="00995AAB">
        <w:rPr>
          <w:lang w:val="en-GB"/>
        </w:rPr>
        <w:t xml:space="preserve"> </w:t>
      </w:r>
      <w:r w:rsidR="006E2AFA" w:rsidRPr="00995AAB">
        <w:rPr>
          <w:lang w:val="en-GB"/>
        </w:rPr>
        <w:t xml:space="preserve">the interpretation of mean and medium should be an indication of the time elapsed between the order and the execution as a reference point for </w:t>
      </w:r>
      <w:r w:rsidR="00543DBA" w:rsidRPr="00995AAB">
        <w:rPr>
          <w:lang w:val="en-GB"/>
        </w:rPr>
        <w:t xml:space="preserve">each </w:t>
      </w:r>
      <w:r w:rsidR="006E2AFA" w:rsidRPr="00995AAB">
        <w:rPr>
          <w:lang w:val="en-GB"/>
        </w:rPr>
        <w:t>type of venue</w:t>
      </w:r>
      <w:r w:rsidR="00543DBA" w:rsidRPr="00995AAB">
        <w:rPr>
          <w:lang w:val="en-GB"/>
        </w:rPr>
        <w:t xml:space="preserve"> in question</w:t>
      </w:r>
      <w:r w:rsidR="006E2AFA" w:rsidRPr="00995AAB">
        <w:rPr>
          <w:lang w:val="en-GB"/>
        </w:rPr>
        <w:t>.</w:t>
      </w:r>
    </w:p>
    <w:p w14:paraId="3AFA2CC1" w14:textId="77777777" w:rsidR="00AC77FA" w:rsidRPr="00995AAB" w:rsidRDefault="00AC77FA" w:rsidP="006E2AFA">
      <w:pPr>
        <w:rPr>
          <w:lang w:val="en-GB"/>
        </w:rPr>
      </w:pPr>
      <w:r w:rsidRPr="00995AAB">
        <w:rPr>
          <w:lang w:val="en-GB"/>
        </w:rPr>
        <w:t xml:space="preserve">Here the concept of suspension should be interpreted as an interruption to the specific instrument on a trading venue outside of any that were in Table 1 under Article 3(1) (e), see Article 7,(2)(n). </w:t>
      </w:r>
    </w:p>
    <w:p w14:paraId="026D54D7" w14:textId="77777777" w:rsidR="00265DD1" w:rsidRPr="00995AAB" w:rsidRDefault="00265DD1" w:rsidP="00CB1801">
      <w:pPr>
        <w:pStyle w:val="Heading4"/>
        <w:rPr>
          <w:lang w:val="en-GB"/>
        </w:rPr>
      </w:pPr>
      <w:r w:rsidRPr="00995AAB">
        <w:rPr>
          <w:lang w:val="en-GB"/>
        </w:rPr>
        <w:t>Attributes</w:t>
      </w:r>
    </w:p>
    <w:p w14:paraId="375C7A99" w14:textId="77777777" w:rsidR="00AD0C70" w:rsidRPr="00995AAB" w:rsidRDefault="00AD0C70" w:rsidP="00AD0C70">
      <w:pPr>
        <w:rPr>
          <w:lang w:val="en-GB"/>
        </w:rPr>
      </w:pPr>
      <w:r w:rsidRPr="00995AAB">
        <w:rPr>
          <w:lang w:val="en-GB"/>
        </w:rPr>
        <w:t>The Table is populated with the following attributes:</w:t>
      </w:r>
    </w:p>
    <w:p w14:paraId="71D805CA" w14:textId="77777777" w:rsidR="00DF5979" w:rsidRPr="00995AAB" w:rsidRDefault="00DF5979" w:rsidP="00DF5979">
      <w:pPr>
        <w:ind w:left="720" w:hanging="720"/>
        <w:rPr>
          <w:lang w:val="en-GB"/>
        </w:rPr>
      </w:pPr>
      <w:r w:rsidRPr="00995AAB">
        <w:rPr>
          <w:lang w:val="en-GB"/>
        </w:rPr>
        <w:t>8a)</w:t>
      </w:r>
      <w:r w:rsidRPr="00995AAB">
        <w:rPr>
          <w:lang w:val="en-GB"/>
        </w:rPr>
        <w:tab/>
        <w:t>average effective spread, which means the average of twice the difference between the actual execution price compared with mid-point of best bid and offer at time of receipt, for market orders or marketable limit orders</w:t>
      </w:r>
    </w:p>
    <w:p w14:paraId="07630ECC" w14:textId="77777777" w:rsidR="00DF5979" w:rsidRPr="00995AAB" w:rsidRDefault="00DF5979" w:rsidP="00DF5979">
      <w:pPr>
        <w:rPr>
          <w:lang w:val="en-GB"/>
        </w:rPr>
      </w:pPr>
      <w:r w:rsidRPr="00995AAB">
        <w:rPr>
          <w:lang w:val="en-GB"/>
        </w:rPr>
        <w:t>8b)</w:t>
      </w:r>
      <w:r w:rsidRPr="00995AAB">
        <w:rPr>
          <w:lang w:val="en-GB"/>
        </w:rPr>
        <w:tab/>
        <w:t>Average volume at best bid and offer</w:t>
      </w:r>
    </w:p>
    <w:p w14:paraId="7E3B57AF" w14:textId="77777777" w:rsidR="00DF5979" w:rsidRPr="00995AAB" w:rsidRDefault="00DF5979" w:rsidP="00DF5979">
      <w:pPr>
        <w:rPr>
          <w:lang w:val="en-GB"/>
        </w:rPr>
      </w:pPr>
      <w:r w:rsidRPr="00995AAB">
        <w:rPr>
          <w:lang w:val="en-GB"/>
        </w:rPr>
        <w:t>8c)</w:t>
      </w:r>
      <w:r w:rsidRPr="00995AAB">
        <w:rPr>
          <w:lang w:val="en-GB"/>
        </w:rPr>
        <w:tab/>
        <w:t>Average spread at best bid and offer</w:t>
      </w:r>
    </w:p>
    <w:p w14:paraId="459FE1E4" w14:textId="77777777" w:rsidR="00DF5979" w:rsidRPr="00995AAB" w:rsidRDefault="00DF5979" w:rsidP="00DF5979">
      <w:pPr>
        <w:rPr>
          <w:lang w:val="en-GB"/>
        </w:rPr>
      </w:pPr>
      <w:r w:rsidRPr="00995AAB">
        <w:rPr>
          <w:lang w:val="en-GB"/>
        </w:rPr>
        <w:t>8d)</w:t>
      </w:r>
      <w:r w:rsidRPr="00995AAB">
        <w:rPr>
          <w:lang w:val="en-GB"/>
        </w:rPr>
        <w:tab/>
        <w:t>Number of cancellations at best bid and offer</w:t>
      </w:r>
    </w:p>
    <w:p w14:paraId="21A9B17C" w14:textId="77777777" w:rsidR="00DF5979" w:rsidRPr="00995AAB" w:rsidRDefault="00DF5979" w:rsidP="00DF5979">
      <w:pPr>
        <w:rPr>
          <w:lang w:val="en-GB"/>
        </w:rPr>
      </w:pPr>
      <w:r w:rsidRPr="00995AAB">
        <w:rPr>
          <w:lang w:val="en-GB"/>
        </w:rPr>
        <w:t>8e)</w:t>
      </w:r>
      <w:r w:rsidRPr="00995AAB">
        <w:rPr>
          <w:lang w:val="en-GB"/>
        </w:rPr>
        <w:tab/>
        <w:t>Number of modifications at best bid and offer</w:t>
      </w:r>
    </w:p>
    <w:p w14:paraId="060AAABB" w14:textId="77777777" w:rsidR="00DF5979" w:rsidRPr="00995AAB" w:rsidRDefault="00DF5979" w:rsidP="00DF5979">
      <w:pPr>
        <w:ind w:left="720" w:hanging="720"/>
        <w:rPr>
          <w:lang w:val="en-GB"/>
        </w:rPr>
      </w:pPr>
      <w:r w:rsidRPr="00995AAB">
        <w:rPr>
          <w:lang w:val="en-GB"/>
        </w:rPr>
        <w:t>8f)</w:t>
      </w:r>
      <w:r w:rsidRPr="00995AAB">
        <w:rPr>
          <w:lang w:val="en-GB"/>
        </w:rPr>
        <w:tab/>
        <w:t>Average book depth for 3 price increments, where book depth means the total available liquidity expressed as the product of price and volume of all bids and offers for a specified number of price increments from the mid- point of the best bid and offer</w:t>
      </w:r>
    </w:p>
    <w:p w14:paraId="624482C0" w14:textId="77777777" w:rsidR="00DF5979" w:rsidRPr="00995AAB" w:rsidRDefault="00DF5979" w:rsidP="00DF5979">
      <w:pPr>
        <w:ind w:left="720" w:hanging="720"/>
        <w:rPr>
          <w:lang w:val="en-GB"/>
        </w:rPr>
      </w:pPr>
      <w:r w:rsidRPr="00995AAB">
        <w:rPr>
          <w:lang w:val="en-GB"/>
        </w:rPr>
        <w:t>8g)</w:t>
      </w:r>
      <w:r w:rsidRPr="00995AAB">
        <w:rPr>
          <w:lang w:val="en-GB"/>
        </w:rPr>
        <w:tab/>
        <w:t>mean time elapsed between an aggressive order or quote acceptance being received by the execution venue and the subsequent total or partial execution</w:t>
      </w:r>
      <w:r w:rsidR="00FF4714">
        <w:rPr>
          <w:lang w:val="en-GB"/>
        </w:rPr>
        <w:t xml:space="preserve">.  It is the collective view that </w:t>
      </w:r>
      <w:r w:rsidR="00AD5637">
        <w:rPr>
          <w:lang w:val="en-GB"/>
        </w:rPr>
        <w:t xml:space="preserve">the term “market” here means aggressive order. </w:t>
      </w:r>
    </w:p>
    <w:p w14:paraId="7958F024" w14:textId="77777777" w:rsidR="00DF5979" w:rsidRPr="00995AAB" w:rsidRDefault="00DF5979" w:rsidP="00DF5979">
      <w:pPr>
        <w:ind w:left="720" w:hanging="720"/>
        <w:rPr>
          <w:lang w:val="en-GB"/>
        </w:rPr>
      </w:pPr>
      <w:r w:rsidRPr="00995AAB">
        <w:rPr>
          <w:lang w:val="en-GB"/>
        </w:rPr>
        <w:t>8h)</w:t>
      </w:r>
      <w:r w:rsidRPr="00995AAB">
        <w:rPr>
          <w:lang w:val="en-GB"/>
        </w:rPr>
        <w:tab/>
        <w:t>median time elapsed between an aggressive order or quote acceptance being received by the execution venue and the subsequent total or partial execution</w:t>
      </w:r>
    </w:p>
    <w:p w14:paraId="64018099" w14:textId="77777777" w:rsidR="00DF5979" w:rsidRPr="00995AAB" w:rsidRDefault="00DF5979" w:rsidP="00DF5979">
      <w:pPr>
        <w:ind w:left="720" w:hanging="720"/>
        <w:rPr>
          <w:lang w:val="en-GB"/>
        </w:rPr>
      </w:pPr>
      <w:r w:rsidRPr="00995AAB">
        <w:rPr>
          <w:lang w:val="en-GB"/>
        </w:rPr>
        <w:t>8i)</w:t>
      </w:r>
      <w:r w:rsidRPr="00995AAB">
        <w:rPr>
          <w:lang w:val="en-GB"/>
        </w:rPr>
        <w:tab/>
        <w:t>Average speed of execution for unmodified passive orders at best bid and offer which means the average time elapsed between a limit order that matches the best bid and offer being received by the execution venue, and the subsequent execution of this order</w:t>
      </w:r>
    </w:p>
    <w:p w14:paraId="28AF6099" w14:textId="77777777" w:rsidR="00DF5979" w:rsidRPr="00995AAB" w:rsidRDefault="00DF5979" w:rsidP="00DF5979">
      <w:pPr>
        <w:rPr>
          <w:lang w:val="en-GB"/>
        </w:rPr>
      </w:pPr>
      <w:r w:rsidRPr="00995AAB">
        <w:rPr>
          <w:lang w:val="en-GB"/>
        </w:rPr>
        <w:t>8j)</w:t>
      </w:r>
      <w:r w:rsidRPr="00995AAB">
        <w:rPr>
          <w:lang w:val="en-GB"/>
        </w:rPr>
        <w:tab/>
        <w:t>Number of Fill or Kill orders that failed</w:t>
      </w:r>
    </w:p>
    <w:p w14:paraId="6B19A073" w14:textId="77777777" w:rsidR="00DF5979" w:rsidRPr="00995AAB" w:rsidRDefault="00DF5979" w:rsidP="00DF5979">
      <w:pPr>
        <w:rPr>
          <w:lang w:val="en-GB"/>
        </w:rPr>
      </w:pPr>
      <w:r w:rsidRPr="00995AAB">
        <w:rPr>
          <w:lang w:val="en-GB"/>
        </w:rPr>
        <w:t>8k)</w:t>
      </w:r>
      <w:r w:rsidRPr="00995AAB">
        <w:rPr>
          <w:lang w:val="en-GB"/>
        </w:rPr>
        <w:tab/>
        <w:t>Number of Immediate or Cancel orders that got zero fill</w:t>
      </w:r>
    </w:p>
    <w:p w14:paraId="512D57EF" w14:textId="77777777" w:rsidR="00DF5979" w:rsidRPr="00995AAB" w:rsidRDefault="00DF5979" w:rsidP="00DF5979">
      <w:pPr>
        <w:ind w:left="720" w:hanging="720"/>
        <w:rPr>
          <w:lang w:val="en-GB"/>
        </w:rPr>
      </w:pPr>
      <w:r w:rsidRPr="00995AAB">
        <w:rPr>
          <w:lang w:val="en-GB"/>
        </w:rPr>
        <w:t>8l)</w:t>
      </w:r>
      <w:r w:rsidRPr="00995AAB">
        <w:rPr>
          <w:lang w:val="en-GB"/>
        </w:rPr>
        <w:tab/>
        <w:t>Number of transactions that were executed on the trading venue that are Large in Scale pursuant to Article 4 or 9 of Regulation (EU) No 600/2014</w:t>
      </w:r>
    </w:p>
    <w:p w14:paraId="539344EA" w14:textId="77777777" w:rsidR="00DF5979" w:rsidRPr="00995AAB" w:rsidRDefault="00DF5979" w:rsidP="00DF5979">
      <w:pPr>
        <w:ind w:left="720" w:hanging="720"/>
        <w:rPr>
          <w:lang w:val="en-GB"/>
        </w:rPr>
      </w:pPr>
      <w:r w:rsidRPr="00995AAB">
        <w:rPr>
          <w:lang w:val="en-GB"/>
        </w:rPr>
        <w:t>8m)</w:t>
      </w:r>
      <w:r w:rsidRPr="00995AAB">
        <w:rPr>
          <w:lang w:val="en-GB"/>
        </w:rPr>
        <w:tab/>
        <w:t>Value of transactions that were executed on the trading venue that are Large in Scale pursuant to Article 4 or 9 of Regulation (EU) No 600/2014</w:t>
      </w:r>
    </w:p>
    <w:p w14:paraId="53C79DB9" w14:textId="77777777" w:rsidR="00DF5979" w:rsidRPr="00995AAB" w:rsidRDefault="00DF5979" w:rsidP="00DF5979">
      <w:pPr>
        <w:rPr>
          <w:lang w:val="en-GB"/>
        </w:rPr>
      </w:pPr>
      <w:r w:rsidRPr="00995AAB">
        <w:rPr>
          <w:lang w:val="en-GB"/>
        </w:rPr>
        <w:t>8n)</w:t>
      </w:r>
      <w:r w:rsidRPr="00995AAB">
        <w:rPr>
          <w:lang w:val="en-GB"/>
        </w:rPr>
        <w:tab/>
        <w:t>"Number of transactions that were executed on</w:t>
      </w:r>
    </w:p>
    <w:p w14:paraId="2BFA9E72" w14:textId="77777777" w:rsidR="00DF5979" w:rsidRPr="00995AAB" w:rsidRDefault="00DF5979" w:rsidP="00DF5979">
      <w:pPr>
        <w:ind w:left="720"/>
        <w:rPr>
          <w:lang w:val="en-GB"/>
        </w:rPr>
      </w:pPr>
      <w:r w:rsidRPr="00995AAB">
        <w:rPr>
          <w:lang w:val="en-GB"/>
        </w:rPr>
        <w:t>the trading venue pursuant to Article 4 or 9 of MiFIR, except for orders that are held in an order management facility of the trading venue pending disclosure and not Large in Scale"</w:t>
      </w:r>
    </w:p>
    <w:p w14:paraId="489D45E5" w14:textId="77777777" w:rsidR="00DF5979" w:rsidRPr="00995AAB" w:rsidRDefault="00DF5979" w:rsidP="00DF5979">
      <w:pPr>
        <w:ind w:left="720" w:hanging="720"/>
        <w:rPr>
          <w:lang w:val="en-GB"/>
        </w:rPr>
      </w:pPr>
      <w:r w:rsidRPr="00995AAB">
        <w:rPr>
          <w:lang w:val="en-GB"/>
        </w:rPr>
        <w:t>8o)</w:t>
      </w:r>
      <w:r w:rsidRPr="00995AAB">
        <w:rPr>
          <w:lang w:val="en-GB"/>
        </w:rPr>
        <w:tab/>
        <w:t>Value of transactions that were executed on the trading venue pursuant to Article 4 or 9 of MiFIR, except for orders that are held in an order management facility of the trading venue pending disclosure and not Large in Scale</w:t>
      </w:r>
    </w:p>
    <w:p w14:paraId="548F2ACC" w14:textId="77777777" w:rsidR="00DF5979" w:rsidRPr="00995AAB" w:rsidRDefault="00DF5979" w:rsidP="00DF5979">
      <w:pPr>
        <w:ind w:left="720" w:hanging="720"/>
        <w:rPr>
          <w:lang w:val="en-GB"/>
        </w:rPr>
      </w:pPr>
      <w:r w:rsidRPr="00995AAB">
        <w:rPr>
          <w:lang w:val="en-GB"/>
        </w:rPr>
        <w:t>8p)</w:t>
      </w:r>
      <w:r w:rsidRPr="00995AAB">
        <w:rPr>
          <w:lang w:val="en-GB"/>
        </w:rPr>
        <w:tab/>
        <w:t>Number of trading interruptions as the result of any volatility auction or circuit breaker which occurred within the venue’s normal trading period</w:t>
      </w:r>
    </w:p>
    <w:p w14:paraId="1369AE53" w14:textId="77777777" w:rsidR="00DF5979" w:rsidRPr="00995AAB" w:rsidRDefault="00DF5979" w:rsidP="00DF5979">
      <w:pPr>
        <w:ind w:left="720" w:hanging="720"/>
        <w:rPr>
          <w:lang w:val="en-GB"/>
        </w:rPr>
      </w:pPr>
      <w:r w:rsidRPr="00995AAB">
        <w:rPr>
          <w:lang w:val="en-GB"/>
        </w:rPr>
        <w:t>8q)</w:t>
      </w:r>
      <w:r w:rsidRPr="00995AAB">
        <w:rPr>
          <w:lang w:val="en-GB"/>
        </w:rPr>
        <w:tab/>
        <w:t>Average duration of trading interruptions as the result of any volatility auction or circuit breaker which occurred within the venue’s normal trading period</w:t>
      </w:r>
    </w:p>
    <w:p w14:paraId="5851744D" w14:textId="77777777" w:rsidR="00DF5979" w:rsidRPr="00261904" w:rsidRDefault="00DF5979" w:rsidP="00DF5979">
      <w:pPr>
        <w:ind w:left="720" w:hanging="720"/>
        <w:rPr>
          <w:lang w:val="en-GB"/>
        </w:rPr>
      </w:pPr>
      <w:r w:rsidRPr="00261904">
        <w:rPr>
          <w:lang w:val="en-GB"/>
        </w:rPr>
        <w:t>8r)</w:t>
      </w:r>
      <w:r w:rsidRPr="00261904">
        <w:rPr>
          <w:lang w:val="en-GB"/>
        </w:rPr>
        <w:tab/>
        <w:t xml:space="preserve">Number of any trading suspension </w:t>
      </w:r>
      <w:r w:rsidR="0030262D" w:rsidRPr="00261904">
        <w:rPr>
          <w:lang w:val="en-GB"/>
        </w:rPr>
        <w:t xml:space="preserve">in an individual instrument </w:t>
      </w:r>
      <w:r w:rsidRPr="00261904">
        <w:rPr>
          <w:lang w:val="en-GB"/>
        </w:rPr>
        <w:t xml:space="preserve">that occurred as a result of a decision by the venue within the venue’s normal trading period, outside of any that were reported under Article 3(1)(e) </w:t>
      </w:r>
    </w:p>
    <w:p w14:paraId="47E7991F" w14:textId="77777777" w:rsidR="00DF5979" w:rsidRPr="00261904" w:rsidRDefault="00DF5979" w:rsidP="00DF5979">
      <w:pPr>
        <w:ind w:left="720" w:hanging="720"/>
        <w:rPr>
          <w:lang w:val="en-GB"/>
        </w:rPr>
      </w:pPr>
      <w:r w:rsidRPr="00261904">
        <w:rPr>
          <w:lang w:val="en-GB"/>
        </w:rPr>
        <w:t>8s)</w:t>
      </w:r>
      <w:r w:rsidRPr="00261904">
        <w:rPr>
          <w:lang w:val="en-GB"/>
        </w:rPr>
        <w:tab/>
        <w:t xml:space="preserve">Nature of any trading suspension </w:t>
      </w:r>
      <w:r w:rsidR="0030262D" w:rsidRPr="00261904">
        <w:rPr>
          <w:lang w:val="en-GB"/>
        </w:rPr>
        <w:t xml:space="preserve">in an individual instrument </w:t>
      </w:r>
      <w:r w:rsidRPr="00261904">
        <w:rPr>
          <w:lang w:val="en-GB"/>
        </w:rPr>
        <w:t>that occurred as a result of a decision by the venue within the venue’s normal trading period, outside of any that were reported under Article 3(1)(e)</w:t>
      </w:r>
    </w:p>
    <w:p w14:paraId="1AEA0A5D" w14:textId="77777777" w:rsidR="00DF5979" w:rsidRPr="00995AAB" w:rsidRDefault="00DF5979" w:rsidP="00DF5979">
      <w:pPr>
        <w:ind w:left="720" w:hanging="720"/>
        <w:rPr>
          <w:lang w:val="en-GB"/>
        </w:rPr>
      </w:pPr>
      <w:r w:rsidRPr="00261904">
        <w:rPr>
          <w:lang w:val="en-GB"/>
        </w:rPr>
        <w:t>8t)</w:t>
      </w:r>
      <w:r w:rsidRPr="00261904">
        <w:rPr>
          <w:lang w:val="en-GB"/>
        </w:rPr>
        <w:tab/>
        <w:t xml:space="preserve">Average duration of any trading suspension </w:t>
      </w:r>
      <w:r w:rsidR="0030262D" w:rsidRPr="00261904">
        <w:rPr>
          <w:lang w:val="en-GB"/>
        </w:rPr>
        <w:t xml:space="preserve">in an individual instrument </w:t>
      </w:r>
      <w:r w:rsidRPr="00261904">
        <w:rPr>
          <w:lang w:val="en-GB"/>
        </w:rPr>
        <w:t>that occurred as a result of a decision by the venue within the venue’s normal trading period, outside of any that were reported under Article 3(1)(e)</w:t>
      </w:r>
    </w:p>
    <w:p w14:paraId="1F9C4BEF" w14:textId="77777777" w:rsidR="00DF5979" w:rsidRPr="00995AAB" w:rsidRDefault="00DF5979" w:rsidP="00DF5979">
      <w:pPr>
        <w:ind w:left="720" w:hanging="720"/>
        <w:rPr>
          <w:lang w:val="en-GB"/>
        </w:rPr>
      </w:pPr>
      <w:r w:rsidRPr="00995AAB">
        <w:rPr>
          <w:lang w:val="en-GB"/>
        </w:rPr>
        <w:lastRenderedPageBreak/>
        <w:t>8u)</w:t>
      </w:r>
      <w:r w:rsidRPr="00995AAB">
        <w:rPr>
          <w:lang w:val="en-GB"/>
        </w:rPr>
        <w:tab/>
        <w:t>For continuous quote trading systems, the number of any periods lasting more than 15 minutes during which no bid or offers were provided during the venue’s normal trading hours for each trading day</w:t>
      </w:r>
    </w:p>
    <w:p w14:paraId="4A19C180" w14:textId="77777777" w:rsidR="00DF5979" w:rsidRPr="00995AAB" w:rsidRDefault="00DF5979" w:rsidP="00DF5979">
      <w:pPr>
        <w:ind w:left="720" w:hanging="720"/>
        <w:rPr>
          <w:lang w:val="en-GB"/>
        </w:rPr>
      </w:pPr>
      <w:r w:rsidRPr="00995AAB">
        <w:rPr>
          <w:lang w:val="en-GB"/>
        </w:rPr>
        <w:t>8v)</w:t>
      </w:r>
      <w:r w:rsidRPr="00995AAB">
        <w:rPr>
          <w:lang w:val="en-GB"/>
        </w:rPr>
        <w:tab/>
        <w:t>For continuous quote trading systems, the average duration of any periods lasting more than 15 minutes during which no bid or offers were provided during the venue’s normal trading hours, for each trading day</w:t>
      </w:r>
    </w:p>
    <w:p w14:paraId="592135BF" w14:textId="77777777" w:rsidR="00265DD1" w:rsidRDefault="00DF5979" w:rsidP="00DF5979">
      <w:pPr>
        <w:ind w:left="720" w:hanging="720"/>
        <w:rPr>
          <w:lang w:val="en-GB"/>
        </w:rPr>
      </w:pPr>
      <w:r w:rsidRPr="00995AAB">
        <w:rPr>
          <w:lang w:val="en-GB"/>
        </w:rPr>
        <w:t>8w)</w:t>
      </w:r>
      <w:r w:rsidRPr="00995AAB">
        <w:rPr>
          <w:lang w:val="en-GB"/>
        </w:rPr>
        <w:tab/>
        <w:t>The average quote presence expressed in percentage of the venue’s normal trading period</w:t>
      </w:r>
      <w:r w:rsidR="00543DBA" w:rsidRPr="00995AAB">
        <w:rPr>
          <w:lang w:val="en-GB"/>
        </w:rPr>
        <w:t xml:space="preserve"> </w:t>
      </w:r>
      <w:r w:rsidRPr="00995AAB">
        <w:rPr>
          <w:lang w:val="en-GB"/>
        </w:rPr>
        <w:t>on that date.</w:t>
      </w:r>
    </w:p>
    <w:p w14:paraId="6A17CFF4" w14:textId="77777777" w:rsidR="00091238" w:rsidRDefault="00091238" w:rsidP="00DF5979">
      <w:pPr>
        <w:ind w:left="720" w:hanging="720"/>
        <w:rPr>
          <w:lang w:val="en-GB"/>
        </w:rPr>
      </w:pPr>
    </w:p>
    <w:p w14:paraId="2E91AF3D" w14:textId="5B4E3DF2" w:rsidR="00091238" w:rsidRDefault="00F842B7" w:rsidP="00995AAB">
      <w:pPr>
        <w:rPr>
          <w:lang w:val="en-GB"/>
        </w:rPr>
      </w:pPr>
      <w:r>
        <w:rPr>
          <w:lang w:val="en-GB"/>
        </w:rPr>
        <w:t>The consensus opinion of the FIX</w:t>
      </w:r>
      <w:r w:rsidR="00091238" w:rsidRPr="00732AC1">
        <w:rPr>
          <w:lang w:val="en-GB"/>
        </w:rPr>
        <w:t xml:space="preserve"> Trading Community Best Execution Working Group is that the </w:t>
      </w:r>
      <w:r w:rsidR="00091238">
        <w:rPr>
          <w:lang w:val="en-GB"/>
        </w:rPr>
        <w:t>number of FOK and IOC orders should not be included in the count of cancelled orders (8d)</w:t>
      </w:r>
      <w:r w:rsidR="00ED6650">
        <w:rPr>
          <w:lang w:val="en-GB"/>
        </w:rPr>
        <w:t>.</w:t>
      </w:r>
      <w:r w:rsidR="00091238" w:rsidRPr="00732AC1">
        <w:rPr>
          <w:lang w:val="en-GB"/>
        </w:rPr>
        <w:t xml:space="preserve">  </w:t>
      </w:r>
    </w:p>
    <w:p w14:paraId="09427BB5" w14:textId="77777777" w:rsidR="00F13BF4" w:rsidRDefault="00F13BF4" w:rsidP="00995AAB">
      <w:pPr>
        <w:rPr>
          <w:lang w:val="en-GB"/>
        </w:rPr>
      </w:pPr>
    </w:p>
    <w:p w14:paraId="25FC8AB5" w14:textId="77777777" w:rsidR="002005D5" w:rsidRPr="00995AAB" w:rsidRDefault="002005D5" w:rsidP="002005D5">
      <w:pPr>
        <w:pStyle w:val="Heading3"/>
        <w:rPr>
          <w:lang w:val="en-GB"/>
        </w:rPr>
      </w:pPr>
      <w:bookmarkStart w:id="57" w:name="_Toc495562565"/>
      <w:r w:rsidRPr="00995AAB">
        <w:rPr>
          <w:lang w:val="en-GB"/>
        </w:rPr>
        <w:t>Table 9 – Article 8</w:t>
      </w:r>
      <w:r w:rsidR="000915F9" w:rsidRPr="00995AAB">
        <w:rPr>
          <w:lang w:val="en-GB"/>
        </w:rPr>
        <w:t>: Likelihood of Execution by instrument</w:t>
      </w:r>
      <w:bookmarkEnd w:id="57"/>
    </w:p>
    <w:p w14:paraId="64620989" w14:textId="77777777" w:rsidR="00265DD1" w:rsidRPr="00995AAB" w:rsidRDefault="00265DD1" w:rsidP="00CB1801">
      <w:pPr>
        <w:pStyle w:val="Heading4"/>
        <w:rPr>
          <w:lang w:val="en-GB"/>
        </w:rPr>
      </w:pPr>
      <w:r w:rsidRPr="00995AAB">
        <w:rPr>
          <w:lang w:val="en-GB"/>
        </w:rPr>
        <w:t>Table Format</w:t>
      </w:r>
      <w:r w:rsidR="00715242">
        <w:rPr>
          <w:lang w:val="en-GB"/>
        </w:rPr>
        <w:t xml:space="preserve"> (one table per instrument per market segment per day)</w:t>
      </w:r>
    </w:p>
    <w:tbl>
      <w:tblPr>
        <w:tblW w:w="5960" w:type="dxa"/>
        <w:tblLook w:val="04A0" w:firstRow="1" w:lastRow="0" w:firstColumn="1" w:lastColumn="0" w:noHBand="0" w:noVBand="1"/>
      </w:tblPr>
      <w:tblGrid>
        <w:gridCol w:w="4200"/>
        <w:gridCol w:w="1760"/>
      </w:tblGrid>
      <w:tr w:rsidR="000915F9" w:rsidRPr="00080375" w14:paraId="351704B4" w14:textId="77777777" w:rsidTr="000915F9">
        <w:trPr>
          <w:trHeight w:val="320"/>
        </w:trPr>
        <w:tc>
          <w:tcPr>
            <w:tcW w:w="4200" w:type="dxa"/>
            <w:tcBorders>
              <w:top w:val="single" w:sz="8" w:space="0" w:color="auto"/>
              <w:left w:val="single" w:sz="8" w:space="0" w:color="auto"/>
              <w:bottom w:val="single" w:sz="4" w:space="0" w:color="auto"/>
              <w:right w:val="single" w:sz="4" w:space="0" w:color="auto"/>
            </w:tcBorders>
            <w:shd w:val="clear" w:color="000000" w:fill="D9D9D9"/>
            <w:hideMark/>
          </w:tcPr>
          <w:p w14:paraId="2014A70F" w14:textId="77777777" w:rsidR="000915F9" w:rsidRPr="00995AAB" w:rsidRDefault="000915F9" w:rsidP="000915F9">
            <w:pPr>
              <w:rPr>
                <w:rFonts w:ascii="Calibri" w:hAnsi="Calibri"/>
                <w:color w:val="000000"/>
                <w:sz w:val="16"/>
                <w:szCs w:val="16"/>
                <w:lang w:val="en-GB"/>
              </w:rPr>
            </w:pPr>
            <w:r w:rsidRPr="00995AAB">
              <w:rPr>
                <w:rFonts w:ascii="Calibri" w:hAnsi="Calibri"/>
                <w:color w:val="000000"/>
                <w:sz w:val="16"/>
                <w:szCs w:val="16"/>
                <w:lang w:val="en-GB"/>
              </w:rPr>
              <w:t>Mean time elapsed between acceptance and execution</w:t>
            </w:r>
          </w:p>
        </w:tc>
        <w:tc>
          <w:tcPr>
            <w:tcW w:w="1760" w:type="dxa"/>
            <w:tcBorders>
              <w:top w:val="single" w:sz="8" w:space="0" w:color="auto"/>
              <w:left w:val="nil"/>
              <w:bottom w:val="single" w:sz="4" w:space="0" w:color="auto"/>
              <w:right w:val="single" w:sz="8" w:space="0" w:color="auto"/>
            </w:tcBorders>
            <w:shd w:val="clear" w:color="auto" w:fill="auto"/>
            <w:hideMark/>
          </w:tcPr>
          <w:p w14:paraId="5359BF91" w14:textId="77777777" w:rsidR="000915F9" w:rsidRPr="00995AAB" w:rsidRDefault="000915F9" w:rsidP="000915F9">
            <w:pPr>
              <w:rPr>
                <w:rFonts w:ascii="Calibri" w:hAnsi="Calibri"/>
                <w:color w:val="FF0000"/>
                <w:sz w:val="16"/>
                <w:szCs w:val="16"/>
                <w:lang w:val="en-GB"/>
              </w:rPr>
            </w:pPr>
            <w:r w:rsidRPr="00995AAB">
              <w:rPr>
                <w:rFonts w:ascii="Calibri" w:hAnsi="Calibri"/>
                <w:color w:val="FF0000"/>
                <w:sz w:val="16"/>
                <w:szCs w:val="16"/>
                <w:lang w:val="en-GB"/>
              </w:rPr>
              <w:t>9a)</w:t>
            </w:r>
          </w:p>
        </w:tc>
      </w:tr>
      <w:tr w:rsidR="000915F9" w:rsidRPr="00080375" w14:paraId="474254DD" w14:textId="77777777" w:rsidTr="000915F9">
        <w:trPr>
          <w:trHeight w:val="332"/>
        </w:trPr>
        <w:tc>
          <w:tcPr>
            <w:tcW w:w="4200" w:type="dxa"/>
            <w:tcBorders>
              <w:top w:val="nil"/>
              <w:left w:val="single" w:sz="8" w:space="0" w:color="auto"/>
              <w:bottom w:val="single" w:sz="4" w:space="0" w:color="auto"/>
              <w:right w:val="single" w:sz="4" w:space="0" w:color="auto"/>
            </w:tcBorders>
            <w:shd w:val="clear" w:color="000000" w:fill="D9D9D9"/>
            <w:hideMark/>
          </w:tcPr>
          <w:p w14:paraId="4F1C3DDD" w14:textId="77777777" w:rsidR="000915F9" w:rsidRPr="00995AAB" w:rsidRDefault="000915F9" w:rsidP="000915F9">
            <w:pPr>
              <w:rPr>
                <w:rFonts w:ascii="Calibri" w:hAnsi="Calibri"/>
                <w:color w:val="000000"/>
                <w:sz w:val="16"/>
                <w:szCs w:val="16"/>
                <w:lang w:val="en-GB"/>
              </w:rPr>
            </w:pPr>
            <w:r w:rsidRPr="00995AAB">
              <w:rPr>
                <w:rFonts w:ascii="Calibri" w:hAnsi="Calibri"/>
                <w:color w:val="000000"/>
                <w:sz w:val="16"/>
                <w:szCs w:val="16"/>
                <w:lang w:val="en-GB"/>
              </w:rPr>
              <w:t>Median time elapsed between acceptance and execution</w:t>
            </w:r>
          </w:p>
        </w:tc>
        <w:tc>
          <w:tcPr>
            <w:tcW w:w="1760" w:type="dxa"/>
            <w:tcBorders>
              <w:top w:val="nil"/>
              <w:left w:val="nil"/>
              <w:bottom w:val="single" w:sz="4" w:space="0" w:color="auto"/>
              <w:right w:val="single" w:sz="8" w:space="0" w:color="auto"/>
            </w:tcBorders>
            <w:shd w:val="clear" w:color="auto" w:fill="auto"/>
            <w:hideMark/>
          </w:tcPr>
          <w:p w14:paraId="097E2446" w14:textId="77777777" w:rsidR="000915F9" w:rsidRPr="00995AAB" w:rsidRDefault="000915F9" w:rsidP="000915F9">
            <w:pPr>
              <w:rPr>
                <w:rFonts w:ascii="Calibri" w:hAnsi="Calibri"/>
                <w:color w:val="FF0000"/>
                <w:sz w:val="16"/>
                <w:szCs w:val="16"/>
                <w:lang w:val="en-GB"/>
              </w:rPr>
            </w:pPr>
            <w:r w:rsidRPr="00995AAB">
              <w:rPr>
                <w:rFonts w:ascii="Calibri" w:hAnsi="Calibri"/>
                <w:color w:val="FF0000"/>
                <w:sz w:val="16"/>
                <w:szCs w:val="16"/>
                <w:lang w:val="en-GB"/>
              </w:rPr>
              <w:t>9b)</w:t>
            </w:r>
          </w:p>
        </w:tc>
      </w:tr>
      <w:tr w:rsidR="000915F9" w:rsidRPr="00080375" w14:paraId="6A048F52" w14:textId="77777777" w:rsidTr="000915F9">
        <w:trPr>
          <w:trHeight w:val="528"/>
        </w:trPr>
        <w:tc>
          <w:tcPr>
            <w:tcW w:w="4200" w:type="dxa"/>
            <w:tcBorders>
              <w:top w:val="nil"/>
              <w:left w:val="single" w:sz="8" w:space="0" w:color="auto"/>
              <w:bottom w:val="single" w:sz="4" w:space="0" w:color="auto"/>
              <w:right w:val="single" w:sz="4" w:space="0" w:color="auto"/>
            </w:tcBorders>
            <w:shd w:val="clear" w:color="000000" w:fill="D9D9D9"/>
            <w:hideMark/>
          </w:tcPr>
          <w:p w14:paraId="56BE8E68" w14:textId="77777777" w:rsidR="000915F9" w:rsidRPr="00995AAB" w:rsidRDefault="000915F9" w:rsidP="000915F9">
            <w:pPr>
              <w:rPr>
                <w:rFonts w:ascii="Calibri" w:hAnsi="Calibri"/>
                <w:color w:val="000000"/>
                <w:sz w:val="16"/>
                <w:szCs w:val="16"/>
                <w:lang w:val="en-GB"/>
              </w:rPr>
            </w:pPr>
            <w:r w:rsidRPr="00995AAB">
              <w:rPr>
                <w:rFonts w:ascii="Calibri" w:hAnsi="Calibri"/>
                <w:color w:val="000000"/>
                <w:sz w:val="16"/>
                <w:szCs w:val="16"/>
                <w:lang w:val="en-GB"/>
              </w:rPr>
              <w:t>Mean time elapsed between request and provision of any corresponding quotes</w:t>
            </w:r>
          </w:p>
        </w:tc>
        <w:tc>
          <w:tcPr>
            <w:tcW w:w="1760" w:type="dxa"/>
            <w:tcBorders>
              <w:top w:val="nil"/>
              <w:left w:val="nil"/>
              <w:bottom w:val="single" w:sz="4" w:space="0" w:color="auto"/>
              <w:right w:val="single" w:sz="8" w:space="0" w:color="auto"/>
            </w:tcBorders>
            <w:shd w:val="clear" w:color="auto" w:fill="auto"/>
            <w:hideMark/>
          </w:tcPr>
          <w:p w14:paraId="676A09BD" w14:textId="77777777" w:rsidR="000915F9" w:rsidRPr="00995AAB" w:rsidRDefault="000915F9" w:rsidP="000915F9">
            <w:pPr>
              <w:rPr>
                <w:rFonts w:ascii="Calibri" w:hAnsi="Calibri"/>
                <w:color w:val="FF0000"/>
                <w:sz w:val="16"/>
                <w:szCs w:val="16"/>
                <w:lang w:val="en-GB"/>
              </w:rPr>
            </w:pPr>
            <w:r w:rsidRPr="00995AAB">
              <w:rPr>
                <w:rFonts w:ascii="Calibri" w:hAnsi="Calibri"/>
                <w:color w:val="FF0000"/>
                <w:sz w:val="16"/>
                <w:szCs w:val="16"/>
                <w:lang w:val="en-GB"/>
              </w:rPr>
              <w:t>9c)</w:t>
            </w:r>
          </w:p>
        </w:tc>
      </w:tr>
      <w:tr w:rsidR="000915F9" w:rsidRPr="00080375" w14:paraId="0E1423CE" w14:textId="77777777" w:rsidTr="000915F9">
        <w:trPr>
          <w:trHeight w:val="660"/>
        </w:trPr>
        <w:tc>
          <w:tcPr>
            <w:tcW w:w="4200" w:type="dxa"/>
            <w:tcBorders>
              <w:top w:val="nil"/>
              <w:left w:val="single" w:sz="8" w:space="0" w:color="auto"/>
              <w:bottom w:val="single" w:sz="8" w:space="0" w:color="auto"/>
              <w:right w:val="single" w:sz="4" w:space="0" w:color="auto"/>
            </w:tcBorders>
            <w:shd w:val="clear" w:color="000000" w:fill="D9D9D9"/>
            <w:hideMark/>
          </w:tcPr>
          <w:p w14:paraId="4BFB19B3" w14:textId="77777777" w:rsidR="000915F9" w:rsidRPr="00995AAB" w:rsidRDefault="000915F9" w:rsidP="000915F9">
            <w:pPr>
              <w:rPr>
                <w:rFonts w:ascii="Calibri" w:hAnsi="Calibri"/>
                <w:color w:val="000000"/>
                <w:sz w:val="16"/>
                <w:szCs w:val="16"/>
                <w:lang w:val="en-GB"/>
              </w:rPr>
            </w:pPr>
            <w:r w:rsidRPr="00995AAB">
              <w:rPr>
                <w:rFonts w:ascii="Calibri" w:hAnsi="Calibri"/>
                <w:color w:val="000000"/>
                <w:sz w:val="16"/>
                <w:szCs w:val="16"/>
                <w:lang w:val="en-GB"/>
              </w:rPr>
              <w:t>Median time elapsed between request and provision of any corresponding quotes</w:t>
            </w:r>
          </w:p>
        </w:tc>
        <w:tc>
          <w:tcPr>
            <w:tcW w:w="1760" w:type="dxa"/>
            <w:tcBorders>
              <w:top w:val="nil"/>
              <w:left w:val="nil"/>
              <w:bottom w:val="single" w:sz="8" w:space="0" w:color="auto"/>
              <w:right w:val="single" w:sz="8" w:space="0" w:color="auto"/>
            </w:tcBorders>
            <w:shd w:val="clear" w:color="auto" w:fill="auto"/>
            <w:hideMark/>
          </w:tcPr>
          <w:p w14:paraId="7B15CADB" w14:textId="77777777" w:rsidR="000915F9" w:rsidRPr="00995AAB" w:rsidRDefault="000915F9" w:rsidP="000915F9">
            <w:pPr>
              <w:rPr>
                <w:rFonts w:ascii="Calibri" w:hAnsi="Calibri"/>
                <w:color w:val="FF0000"/>
                <w:sz w:val="16"/>
                <w:szCs w:val="16"/>
                <w:lang w:val="en-GB"/>
              </w:rPr>
            </w:pPr>
            <w:r w:rsidRPr="00995AAB">
              <w:rPr>
                <w:rFonts w:ascii="Calibri" w:hAnsi="Calibri"/>
                <w:color w:val="FF0000"/>
                <w:sz w:val="16"/>
                <w:szCs w:val="16"/>
                <w:lang w:val="en-GB"/>
              </w:rPr>
              <w:t>9d)</w:t>
            </w:r>
          </w:p>
        </w:tc>
      </w:tr>
    </w:tbl>
    <w:p w14:paraId="35AE4D35" w14:textId="77777777" w:rsidR="00DF5979" w:rsidRPr="00995AAB" w:rsidRDefault="00DF5979" w:rsidP="00DF5979">
      <w:pPr>
        <w:rPr>
          <w:lang w:val="en-GB"/>
        </w:rPr>
      </w:pPr>
    </w:p>
    <w:p w14:paraId="7AD4CD02" w14:textId="77777777" w:rsidR="00265DD1" w:rsidRPr="00995AAB" w:rsidRDefault="00265DD1" w:rsidP="00CB1801">
      <w:pPr>
        <w:pStyle w:val="Heading4"/>
        <w:rPr>
          <w:lang w:val="en-GB"/>
        </w:rPr>
      </w:pPr>
      <w:r w:rsidRPr="00995AAB">
        <w:rPr>
          <w:lang w:val="en-GB"/>
        </w:rPr>
        <w:t>Attributes</w:t>
      </w:r>
    </w:p>
    <w:p w14:paraId="50C9AF00" w14:textId="77777777" w:rsidR="00265DD1" w:rsidRPr="00995AAB" w:rsidRDefault="00AD0C70" w:rsidP="00CB1801">
      <w:pPr>
        <w:rPr>
          <w:lang w:val="en-GB"/>
        </w:rPr>
      </w:pPr>
      <w:r w:rsidRPr="00995AAB">
        <w:rPr>
          <w:lang w:val="en-GB"/>
        </w:rPr>
        <w:t>The Table is populated with the following attributes:</w:t>
      </w:r>
    </w:p>
    <w:p w14:paraId="644B74C8" w14:textId="77777777" w:rsidR="000915F9" w:rsidRPr="00995AAB" w:rsidRDefault="000915F9" w:rsidP="000915F9">
      <w:pPr>
        <w:ind w:left="720" w:hanging="720"/>
        <w:rPr>
          <w:lang w:val="en-GB"/>
        </w:rPr>
      </w:pPr>
      <w:r w:rsidRPr="00995AAB">
        <w:rPr>
          <w:lang w:val="en-GB"/>
        </w:rPr>
        <w:t>9a)</w:t>
      </w:r>
      <w:r w:rsidRPr="00995AAB">
        <w:rPr>
          <w:lang w:val="en-GB"/>
        </w:rPr>
        <w:tab/>
        <w:t>the mean amount of time elapsed between the acceptance of a quote and execution, for all transactions in that financial instrument</w:t>
      </w:r>
    </w:p>
    <w:p w14:paraId="3DCBF812" w14:textId="77777777" w:rsidR="000915F9" w:rsidRPr="00995AAB" w:rsidRDefault="000915F9" w:rsidP="000915F9">
      <w:pPr>
        <w:ind w:left="720" w:hanging="720"/>
        <w:rPr>
          <w:lang w:val="en-GB"/>
        </w:rPr>
      </w:pPr>
      <w:r w:rsidRPr="00995AAB">
        <w:rPr>
          <w:lang w:val="en-GB"/>
        </w:rPr>
        <w:t>9b)</w:t>
      </w:r>
      <w:r w:rsidRPr="00995AAB">
        <w:rPr>
          <w:lang w:val="en-GB"/>
        </w:rPr>
        <w:tab/>
        <w:t>the median amount of time elapsed between the acceptance of a quote and execution, for all transactions in that financial instrument</w:t>
      </w:r>
    </w:p>
    <w:p w14:paraId="54F89517" w14:textId="77777777" w:rsidR="000915F9" w:rsidRPr="00995AAB" w:rsidRDefault="000915F9" w:rsidP="000915F9">
      <w:pPr>
        <w:ind w:left="720" w:hanging="720"/>
        <w:rPr>
          <w:lang w:val="en-GB"/>
        </w:rPr>
      </w:pPr>
      <w:r w:rsidRPr="00995AAB">
        <w:rPr>
          <w:lang w:val="en-GB"/>
        </w:rPr>
        <w:t>9c)</w:t>
      </w:r>
      <w:r w:rsidRPr="00995AAB">
        <w:rPr>
          <w:lang w:val="en-GB"/>
        </w:rPr>
        <w:tab/>
        <w:t>the mean amount of time and median amount of time elapsed between a request for a quote and provision of any corresponding quotes, for all quotes in that financial instrument</w:t>
      </w:r>
    </w:p>
    <w:p w14:paraId="47ABD857" w14:textId="51CC0A24" w:rsidR="000915F9" w:rsidRPr="00995AAB" w:rsidRDefault="000915F9" w:rsidP="00D70E81">
      <w:pPr>
        <w:ind w:left="720" w:hanging="720"/>
        <w:rPr>
          <w:lang w:val="en-GB"/>
        </w:rPr>
      </w:pPr>
      <w:r w:rsidRPr="00995AAB">
        <w:rPr>
          <w:lang w:val="en-GB"/>
        </w:rPr>
        <w:t>9d)</w:t>
      </w:r>
      <w:r w:rsidRPr="00995AAB">
        <w:rPr>
          <w:lang w:val="en-GB"/>
        </w:rPr>
        <w:tab/>
        <w:t>the median amount of time elapsed between a request for a quote and provision of any corresponding quotes, for all quotes in that financial instrument</w:t>
      </w:r>
    </w:p>
    <w:p w14:paraId="26975022" w14:textId="77777777" w:rsidR="00A70206" w:rsidRPr="00995AAB" w:rsidRDefault="00B85D86" w:rsidP="00A6236E">
      <w:pPr>
        <w:pStyle w:val="Heading2"/>
        <w:ind w:left="567"/>
        <w:rPr>
          <w:lang w:val="en-GB"/>
        </w:rPr>
      </w:pPr>
      <w:bookmarkStart w:id="58" w:name="_Toc495562566"/>
      <w:r w:rsidRPr="00995AAB">
        <w:rPr>
          <w:lang w:val="en-GB"/>
        </w:rPr>
        <w:t>Entities operating a Central Limit Order Book</w:t>
      </w:r>
      <w:bookmarkEnd w:id="58"/>
    </w:p>
    <w:p w14:paraId="15E9E99E" w14:textId="77777777" w:rsidR="00EA6806" w:rsidRPr="00D33E96" w:rsidRDefault="00EA6806" w:rsidP="00995AAB">
      <w:pPr>
        <w:pStyle w:val="Heading3"/>
        <w:rPr>
          <w:lang w:val="en-GB"/>
        </w:rPr>
      </w:pPr>
      <w:bookmarkStart w:id="59" w:name="_Toc495562567"/>
      <w:r w:rsidRPr="00A7378B">
        <w:rPr>
          <w:lang w:val="en-GB"/>
        </w:rPr>
        <w:t>Frequency of Publication</w:t>
      </w:r>
      <w:bookmarkEnd w:id="59"/>
      <w:r w:rsidRPr="00A7378B">
        <w:rPr>
          <w:lang w:val="en-GB"/>
        </w:rPr>
        <w:t>   </w:t>
      </w:r>
    </w:p>
    <w:p w14:paraId="1B85C636" w14:textId="1BADECE9" w:rsidR="00EA6806" w:rsidRPr="00995AAB" w:rsidRDefault="00EA6806" w:rsidP="00D70E81">
      <w:pPr>
        <w:rPr>
          <w:lang w:val="en-GB"/>
        </w:rPr>
      </w:pPr>
      <w:r w:rsidRPr="00080375">
        <w:rPr>
          <w:lang w:val="en-GB"/>
        </w:rPr>
        <w:t xml:space="preserve">Execution Venues are required to publish data four times a year and no later than three months after the end of each quarter. </w:t>
      </w:r>
    </w:p>
    <w:p w14:paraId="7611CC0C" w14:textId="77777777" w:rsidR="00647722" w:rsidRPr="00080375" w:rsidRDefault="00647722" w:rsidP="00995AAB">
      <w:pPr>
        <w:pStyle w:val="Heading3"/>
        <w:rPr>
          <w:lang w:val="en-GB"/>
        </w:rPr>
      </w:pPr>
      <w:bookmarkStart w:id="60" w:name="_Toc495562568"/>
      <w:r w:rsidRPr="00080375">
        <w:rPr>
          <w:lang w:val="en-GB"/>
        </w:rPr>
        <w:t>Tables to be completed</w:t>
      </w:r>
      <w:bookmarkEnd w:id="60"/>
    </w:p>
    <w:p w14:paraId="23CDDEAC" w14:textId="77777777" w:rsidR="003E25D5" w:rsidRPr="00080375" w:rsidRDefault="003E25D5" w:rsidP="00557AED">
      <w:pPr>
        <w:rPr>
          <w:lang w:val="en-GB"/>
        </w:rPr>
      </w:pPr>
      <w:r w:rsidRPr="00080375">
        <w:rPr>
          <w:lang w:val="en-GB"/>
        </w:rPr>
        <w:t>Table 1 – Identification Information to be published in accordance with Article 3</w:t>
      </w:r>
    </w:p>
    <w:p w14:paraId="2BE43F22" w14:textId="77777777" w:rsidR="003E25D5" w:rsidRPr="00080375" w:rsidRDefault="003E25D5" w:rsidP="00557AED">
      <w:pPr>
        <w:rPr>
          <w:lang w:val="en-GB"/>
        </w:rPr>
      </w:pPr>
      <w:r w:rsidRPr="00080375">
        <w:rPr>
          <w:lang w:val="en-GB"/>
        </w:rPr>
        <w:t>Table 2 – Identification Information to be published in accordance with Article 3</w:t>
      </w:r>
    </w:p>
    <w:p w14:paraId="6E56BC3D" w14:textId="77777777" w:rsidR="003E25D5" w:rsidRPr="00080375" w:rsidRDefault="003E25D5" w:rsidP="00557AED">
      <w:pPr>
        <w:rPr>
          <w:lang w:val="en-GB"/>
        </w:rPr>
      </w:pPr>
      <w:r w:rsidRPr="00080375">
        <w:rPr>
          <w:lang w:val="en-GB"/>
        </w:rPr>
        <w:t>Table 3 – Price Information to be published in accordance with Article 4(I)(a)</w:t>
      </w:r>
    </w:p>
    <w:p w14:paraId="1080558B" w14:textId="77777777" w:rsidR="00057695" w:rsidRPr="00080375" w:rsidRDefault="003E25D5" w:rsidP="00557AED">
      <w:pPr>
        <w:rPr>
          <w:lang w:val="en-GB"/>
        </w:rPr>
      </w:pPr>
      <w:r w:rsidRPr="00080375">
        <w:rPr>
          <w:lang w:val="en-GB"/>
        </w:rPr>
        <w:t>Table 4 – Price Information to be published in</w:t>
      </w:r>
      <w:r w:rsidR="00057695" w:rsidRPr="00080375">
        <w:rPr>
          <w:lang w:val="en-GB"/>
        </w:rPr>
        <w:t xml:space="preserve"> accordance with Article 4(I)(b)</w:t>
      </w:r>
    </w:p>
    <w:p w14:paraId="265E5FD5" w14:textId="77777777" w:rsidR="00EA6806" w:rsidRPr="00080375" w:rsidRDefault="0027057F" w:rsidP="00557AED">
      <w:pPr>
        <w:rPr>
          <w:lang w:val="en-GB"/>
        </w:rPr>
      </w:pPr>
      <w:r w:rsidRPr="00080375">
        <w:rPr>
          <w:lang w:val="en-GB"/>
        </w:rPr>
        <w:t>Table 5 – costs information to be published in accordance with Article 5</w:t>
      </w:r>
    </w:p>
    <w:p w14:paraId="0D8F39E9" w14:textId="77777777" w:rsidR="00057695" w:rsidRPr="00080375" w:rsidRDefault="00057695" w:rsidP="00557AED">
      <w:pPr>
        <w:rPr>
          <w:lang w:val="en-GB"/>
        </w:rPr>
      </w:pPr>
      <w:r w:rsidRPr="00080375">
        <w:rPr>
          <w:lang w:val="en-GB"/>
        </w:rPr>
        <w:t>Table 6 – Likelihood of Execution by instrument (daily) in accordance with Article 6</w:t>
      </w:r>
    </w:p>
    <w:p w14:paraId="4AAD56B7" w14:textId="77777777" w:rsidR="00647722" w:rsidRPr="00995AAB" w:rsidRDefault="00647722" w:rsidP="00995AAB">
      <w:pPr>
        <w:rPr>
          <w:lang w:val="en-GB"/>
        </w:rPr>
      </w:pPr>
      <w:r w:rsidRPr="00995AAB">
        <w:rPr>
          <w:lang w:val="en-GB"/>
        </w:rPr>
        <w:t>Table 7 - Likelihood of Execution - additional information by continuous auction order book and continuous quote driven execution venues (Article 7 (1))</w:t>
      </w:r>
      <w:r w:rsidRPr="00995AAB" w:rsidDel="00AC77FA">
        <w:rPr>
          <w:lang w:val="en-GB"/>
        </w:rPr>
        <w:t xml:space="preserve"> </w:t>
      </w:r>
    </w:p>
    <w:p w14:paraId="76E497B9" w14:textId="77777777" w:rsidR="003F0AFF" w:rsidRPr="00080375" w:rsidRDefault="003F0AFF" w:rsidP="00557AED">
      <w:pPr>
        <w:rPr>
          <w:lang w:val="en-GB"/>
        </w:rPr>
      </w:pPr>
      <w:r w:rsidRPr="00995AAB">
        <w:rPr>
          <w:lang w:val="en-GB"/>
        </w:rPr>
        <w:t>Table 8 – Likelihood of Execution by instrument (daily) in accordance with Article 7 (2) /(3)</w:t>
      </w:r>
    </w:p>
    <w:p w14:paraId="6DD1E596" w14:textId="77777777" w:rsidR="00B85D86" w:rsidRPr="00995AAB" w:rsidRDefault="00B85D86" w:rsidP="00247766">
      <w:pPr>
        <w:pStyle w:val="Heading2"/>
        <w:ind w:left="851"/>
        <w:rPr>
          <w:lang w:val="en-GB"/>
        </w:rPr>
      </w:pPr>
      <w:bookmarkStart w:id="61" w:name="_Toc495562569"/>
      <w:r w:rsidRPr="00995AAB">
        <w:rPr>
          <w:lang w:val="en-GB"/>
        </w:rPr>
        <w:lastRenderedPageBreak/>
        <w:t xml:space="preserve">Entities operating </w:t>
      </w:r>
      <w:r w:rsidR="00F00481" w:rsidRPr="00995AAB">
        <w:rPr>
          <w:lang w:val="en-GB"/>
        </w:rPr>
        <w:t>a Request for Quote Mechanism</w:t>
      </w:r>
      <w:bookmarkEnd w:id="61"/>
    </w:p>
    <w:p w14:paraId="2861A21B" w14:textId="77777777" w:rsidR="00F103D4" w:rsidRPr="00995AAB" w:rsidRDefault="00F103D4" w:rsidP="00995AAB">
      <w:pPr>
        <w:pStyle w:val="Heading3"/>
        <w:rPr>
          <w:lang w:val="en-GB"/>
        </w:rPr>
      </w:pPr>
      <w:bookmarkStart w:id="62" w:name="_Toc495562570"/>
      <w:r w:rsidRPr="00995AAB">
        <w:rPr>
          <w:lang w:val="en-GB"/>
        </w:rPr>
        <w:t>Frequency of Publication</w:t>
      </w:r>
      <w:bookmarkEnd w:id="62"/>
      <w:r w:rsidRPr="00995AAB">
        <w:rPr>
          <w:lang w:val="en-GB"/>
        </w:rPr>
        <w:t xml:space="preserve">   </w:t>
      </w:r>
    </w:p>
    <w:p w14:paraId="4494ADF7" w14:textId="77777777" w:rsidR="00F103D4" w:rsidRPr="00995AAB" w:rsidRDefault="00F103D4" w:rsidP="00995AAB">
      <w:pPr>
        <w:rPr>
          <w:lang w:val="en-GB"/>
        </w:rPr>
      </w:pPr>
      <w:r w:rsidRPr="00995AAB">
        <w:rPr>
          <w:lang w:val="en-GB"/>
        </w:rPr>
        <w:t>Execution Venues are required to publish data four times a year and no later than three months after the end of each quarter.</w:t>
      </w:r>
    </w:p>
    <w:p w14:paraId="16E2B380" w14:textId="77777777" w:rsidR="002005D5" w:rsidRPr="00995AAB" w:rsidRDefault="002005D5" w:rsidP="002005D5">
      <w:pPr>
        <w:pStyle w:val="Heading3"/>
        <w:rPr>
          <w:lang w:val="en-GB"/>
        </w:rPr>
      </w:pPr>
      <w:bookmarkStart w:id="63" w:name="_Toc495562571"/>
      <w:r w:rsidRPr="00995AAB">
        <w:rPr>
          <w:lang w:val="en-GB"/>
        </w:rPr>
        <w:t>Tables to complete</w:t>
      </w:r>
      <w:bookmarkEnd w:id="63"/>
    </w:p>
    <w:p w14:paraId="120CF604" w14:textId="77777777" w:rsidR="00F103D4" w:rsidRPr="00080375" w:rsidRDefault="00F103D4" w:rsidP="00995AAB">
      <w:pPr>
        <w:rPr>
          <w:lang w:val="en-GB"/>
        </w:rPr>
      </w:pPr>
      <w:r w:rsidRPr="00080375">
        <w:rPr>
          <w:lang w:val="en-GB"/>
        </w:rPr>
        <w:t>Table 1 – Identification Information to be published in accordance with Article 3</w:t>
      </w:r>
    </w:p>
    <w:p w14:paraId="1646B9FE" w14:textId="77777777" w:rsidR="00F103D4" w:rsidRPr="00995AAB" w:rsidRDefault="00F103D4" w:rsidP="00995AAB">
      <w:pPr>
        <w:rPr>
          <w:lang w:val="en-GB"/>
        </w:rPr>
      </w:pPr>
      <w:bookmarkStart w:id="64" w:name="_Toc462774393"/>
      <w:r w:rsidRPr="00995AAB">
        <w:rPr>
          <w:lang w:val="en-GB"/>
        </w:rPr>
        <w:t>Table 2 - Article 3(2)</w:t>
      </w:r>
      <w:bookmarkEnd w:id="64"/>
      <w:r w:rsidRPr="00995AAB">
        <w:rPr>
          <w:lang w:val="en-GB"/>
        </w:rPr>
        <w:t>: Instrument Identifier</w:t>
      </w:r>
    </w:p>
    <w:p w14:paraId="325A0424" w14:textId="77777777" w:rsidR="00F103D4" w:rsidRPr="00995AAB" w:rsidRDefault="00F103D4" w:rsidP="00995AAB">
      <w:pPr>
        <w:rPr>
          <w:bCs/>
          <w:iCs/>
          <w:lang w:val="en-GB"/>
        </w:rPr>
      </w:pPr>
      <w:r w:rsidRPr="000D27E0">
        <w:rPr>
          <w:lang w:val="en-GB"/>
        </w:rPr>
        <w:t>Table 3 – Price Information to be published in accordance with Article 4(I)(a)</w:t>
      </w:r>
    </w:p>
    <w:p w14:paraId="425D9BC4" w14:textId="5D657E89" w:rsidR="00F103D4" w:rsidRPr="00995AAB" w:rsidRDefault="00F103D4" w:rsidP="00995AAB">
      <w:pPr>
        <w:rPr>
          <w:bCs/>
          <w:lang w:val="en-GB"/>
        </w:rPr>
      </w:pPr>
      <w:r w:rsidRPr="00995AAB">
        <w:rPr>
          <w:bCs/>
          <w:lang w:val="en-GB"/>
        </w:rPr>
        <w:t>Table 4 – Price Information to be published in accordance with Article 4(I)(b)</w:t>
      </w:r>
      <w:r w:rsidR="00AF42FB">
        <w:rPr>
          <w:bCs/>
          <w:lang w:val="en-GB"/>
        </w:rPr>
        <w:t xml:space="preserve"> - </w:t>
      </w:r>
      <w:r w:rsidR="00AF42FB">
        <w:t>when prices are transacted after 09:30am to provide details of the first singular transaction after T if nothing happens in the first 2 minutes</w:t>
      </w:r>
    </w:p>
    <w:p w14:paraId="1C2D7B02" w14:textId="77777777" w:rsidR="00F103D4" w:rsidRPr="00995AAB" w:rsidRDefault="00F103D4" w:rsidP="00995AAB">
      <w:pPr>
        <w:rPr>
          <w:bCs/>
          <w:lang w:val="en-GB"/>
        </w:rPr>
      </w:pPr>
      <w:r w:rsidRPr="00995AAB">
        <w:rPr>
          <w:bCs/>
          <w:lang w:val="en-GB"/>
        </w:rPr>
        <w:t xml:space="preserve">Table 5 – Costs information to be published in accordance with Article 5Table 6 – Likelihood of Execution by instrument (daily) in accordance with Article 6Table 9 – </w:t>
      </w:r>
      <w:r w:rsidRPr="00995AAB">
        <w:rPr>
          <w:bCs/>
          <w:iCs/>
          <w:lang w:val="en-GB"/>
        </w:rPr>
        <w:t>Information to be published as referred to in Article 8</w:t>
      </w:r>
    </w:p>
    <w:p w14:paraId="17D4B62C" w14:textId="77777777" w:rsidR="00FD62CD" w:rsidRPr="00995AAB" w:rsidRDefault="00FD62CD" w:rsidP="00FD62CD">
      <w:pPr>
        <w:rPr>
          <w:lang w:val="en-GB"/>
        </w:rPr>
      </w:pPr>
    </w:p>
    <w:p w14:paraId="565D8389" w14:textId="77777777" w:rsidR="002005D5" w:rsidRPr="003011B1" w:rsidRDefault="002005D5" w:rsidP="002005D5">
      <w:pPr>
        <w:pStyle w:val="Heading3"/>
        <w:rPr>
          <w:lang w:val="en-GB"/>
        </w:rPr>
      </w:pPr>
      <w:bookmarkStart w:id="65" w:name="_Toc495562572"/>
      <w:r w:rsidRPr="003011B1">
        <w:rPr>
          <w:lang w:val="en-GB"/>
        </w:rPr>
        <w:t>Specific Scenarios</w:t>
      </w:r>
      <w:bookmarkEnd w:id="65"/>
    </w:p>
    <w:p w14:paraId="5C8BF888" w14:textId="07F70580" w:rsidR="004B6F02" w:rsidRDefault="004B6F02" w:rsidP="002005D5">
      <w:pPr>
        <w:pStyle w:val="Heading4"/>
        <w:rPr>
          <w:lang w:val="en-GB"/>
        </w:rPr>
      </w:pPr>
      <w:r w:rsidRPr="00995AAB">
        <w:rPr>
          <w:lang w:val="en-GB"/>
        </w:rPr>
        <w:t>Firm Quote</w:t>
      </w:r>
    </w:p>
    <w:p w14:paraId="63ABD4FE" w14:textId="3087EEAD" w:rsidR="00160B61" w:rsidRPr="00995AAB" w:rsidRDefault="00160B61" w:rsidP="00160B61">
      <w:pPr>
        <w:rPr>
          <w:lang w:val="en-GB"/>
        </w:rPr>
      </w:pPr>
      <w:r>
        <w:rPr>
          <w:lang w:val="en-GB"/>
        </w:rPr>
        <w:t>It is the consensus of this working group that</w:t>
      </w:r>
      <w:r w:rsidR="00DD0AF9">
        <w:rPr>
          <w:lang w:val="en-GB"/>
        </w:rPr>
        <w:t xml:space="preserve"> </w:t>
      </w:r>
      <w:r w:rsidR="00DD0AF9">
        <w:t xml:space="preserve">details on the </w:t>
      </w:r>
      <w:r w:rsidR="00ED6650">
        <w:t xml:space="preserve">number </w:t>
      </w:r>
      <w:r w:rsidR="00DD0AF9">
        <w:t>of firm quotes must exclude where one party cancels and withdraws quote and should only include those quotes where the party accepts and has the intention to trade – ie when it is firm vs. when it is indicative.</w:t>
      </w:r>
    </w:p>
    <w:p w14:paraId="2A9AAC15" w14:textId="77777777" w:rsidR="00160B61" w:rsidRPr="00160B61" w:rsidRDefault="00160B61" w:rsidP="00160B61">
      <w:pPr>
        <w:rPr>
          <w:lang w:val="en-GB"/>
        </w:rPr>
      </w:pPr>
    </w:p>
    <w:p w14:paraId="4ED46A2C" w14:textId="77777777" w:rsidR="002773BC" w:rsidRDefault="00F00481" w:rsidP="002005D5">
      <w:pPr>
        <w:pStyle w:val="Heading4"/>
        <w:rPr>
          <w:lang w:val="en-GB"/>
        </w:rPr>
      </w:pPr>
      <w:r w:rsidRPr="00995AAB">
        <w:rPr>
          <w:lang w:val="en-GB"/>
        </w:rPr>
        <w:t>Indicative Quote</w:t>
      </w:r>
    </w:p>
    <w:p w14:paraId="00CA6A7A" w14:textId="44BD4974" w:rsidR="00F00481" w:rsidRPr="00995AAB" w:rsidRDefault="002773BC" w:rsidP="00F842B7">
      <w:pPr>
        <w:rPr>
          <w:lang w:val="en-GB"/>
        </w:rPr>
      </w:pPr>
      <w:r>
        <w:rPr>
          <w:lang w:val="en-GB"/>
        </w:rPr>
        <w:t>It is the consensus of this working group that Indicative Quotes would fall out of the scope of Best Execution reporting.</w:t>
      </w:r>
    </w:p>
    <w:p w14:paraId="70638177" w14:textId="77777777" w:rsidR="004B6F02" w:rsidRPr="00995AAB" w:rsidRDefault="004B6F02" w:rsidP="004B6F02">
      <w:pPr>
        <w:rPr>
          <w:lang w:val="en-GB"/>
        </w:rPr>
      </w:pPr>
    </w:p>
    <w:p w14:paraId="346AA672" w14:textId="77777777" w:rsidR="00F00481" w:rsidRPr="00995AAB" w:rsidRDefault="00F00481" w:rsidP="003F0AFF">
      <w:pPr>
        <w:pStyle w:val="Heading2"/>
        <w:ind w:left="851"/>
        <w:rPr>
          <w:lang w:val="en-GB"/>
        </w:rPr>
      </w:pPr>
      <w:bookmarkStart w:id="66" w:name="_Toc495562573"/>
      <w:r w:rsidRPr="00995AAB">
        <w:rPr>
          <w:lang w:val="en-GB"/>
        </w:rPr>
        <w:t>Other Trading Models</w:t>
      </w:r>
      <w:bookmarkEnd w:id="66"/>
    </w:p>
    <w:p w14:paraId="7A803E4D" w14:textId="77777777" w:rsidR="00F00481" w:rsidRPr="00995AAB" w:rsidRDefault="00F00481" w:rsidP="002005D5">
      <w:pPr>
        <w:pStyle w:val="Heading4"/>
        <w:rPr>
          <w:lang w:val="en-GB"/>
        </w:rPr>
      </w:pPr>
      <w:r w:rsidRPr="00995AAB">
        <w:rPr>
          <w:lang w:val="en-GB"/>
        </w:rPr>
        <w:t>Dark Pool</w:t>
      </w:r>
      <w:r w:rsidR="00B36F11" w:rsidRPr="00995AAB">
        <w:rPr>
          <w:lang w:val="en-GB"/>
        </w:rPr>
        <w:t xml:space="preserve"> – Block Model </w:t>
      </w:r>
      <w:r w:rsidR="00CD4A98">
        <w:rPr>
          <w:lang w:val="en-GB"/>
        </w:rPr>
        <w:t xml:space="preserve">(No firm resting orders) </w:t>
      </w:r>
    </w:p>
    <w:p w14:paraId="24E2F67A" w14:textId="77777777" w:rsidR="00D60AC2" w:rsidRPr="00080375" w:rsidRDefault="00D60AC2" w:rsidP="00D60AC2">
      <w:pPr>
        <w:rPr>
          <w:lang w:val="en-GB"/>
        </w:rPr>
      </w:pPr>
      <w:r w:rsidRPr="00080375">
        <w:rPr>
          <w:lang w:val="en-GB"/>
        </w:rPr>
        <w:t>Table 1 – Identification Information to be published in accordance with Article 3</w:t>
      </w:r>
    </w:p>
    <w:p w14:paraId="32166C61" w14:textId="77777777" w:rsidR="00D60AC2" w:rsidRPr="00995AAB" w:rsidRDefault="00D60AC2" w:rsidP="00D60AC2">
      <w:pPr>
        <w:rPr>
          <w:lang w:val="en-GB"/>
        </w:rPr>
      </w:pPr>
      <w:r w:rsidRPr="00995AAB">
        <w:rPr>
          <w:lang w:val="en-GB"/>
        </w:rPr>
        <w:t>Table 2 - Article 3(2): Instrument Identifier</w:t>
      </w:r>
    </w:p>
    <w:p w14:paraId="214898B6" w14:textId="470249F3" w:rsidR="00D60AC2" w:rsidRPr="00AF42FB" w:rsidRDefault="00D60AC2" w:rsidP="00D60AC2">
      <w:pPr>
        <w:rPr>
          <w:bCs/>
          <w:lang w:val="en-GB"/>
        </w:rPr>
      </w:pPr>
      <w:r w:rsidRPr="00080375">
        <w:rPr>
          <w:lang w:val="en-GB"/>
        </w:rPr>
        <w:t>Table 3 – Price Information to be published in accordance with Article 4(I)(a)</w:t>
      </w:r>
      <w:r w:rsidR="00AF42FB">
        <w:rPr>
          <w:lang w:val="en-GB"/>
        </w:rPr>
        <w:t xml:space="preserve"> - </w:t>
      </w:r>
      <w:r w:rsidR="00AF42FB">
        <w:t>when prices are transacted after 09:30am to provide details of the first singular transaction after T if nothing happens in the first 2 minutes</w:t>
      </w:r>
    </w:p>
    <w:p w14:paraId="79173EED" w14:textId="77777777" w:rsidR="00D60AC2" w:rsidRPr="00080375" w:rsidRDefault="00D60AC2" w:rsidP="00D60AC2">
      <w:pPr>
        <w:rPr>
          <w:bCs/>
          <w:lang w:val="en-GB"/>
        </w:rPr>
      </w:pPr>
      <w:r w:rsidRPr="00080375">
        <w:rPr>
          <w:bCs/>
          <w:lang w:val="en-GB"/>
        </w:rPr>
        <w:t>Table 4 – Price Information to be published in accordance with Article 4(I)(b)</w:t>
      </w:r>
    </w:p>
    <w:p w14:paraId="0BD60EE0" w14:textId="77777777" w:rsidR="00D60AC2" w:rsidRPr="00080375" w:rsidRDefault="00D60AC2" w:rsidP="00D60AC2">
      <w:pPr>
        <w:rPr>
          <w:bCs/>
          <w:lang w:val="en-GB"/>
        </w:rPr>
      </w:pPr>
      <w:r w:rsidRPr="00080375">
        <w:rPr>
          <w:bCs/>
          <w:lang w:val="en-GB"/>
        </w:rPr>
        <w:t>Table 5 – Costs information to be published in accordance with Article 5</w:t>
      </w:r>
    </w:p>
    <w:p w14:paraId="2E0555C2" w14:textId="77777777" w:rsidR="00D60AC2" w:rsidRPr="00080375" w:rsidRDefault="00D60AC2" w:rsidP="00D60AC2">
      <w:pPr>
        <w:rPr>
          <w:bCs/>
          <w:lang w:val="en-GB"/>
        </w:rPr>
      </w:pPr>
      <w:r w:rsidRPr="00080375">
        <w:rPr>
          <w:bCs/>
          <w:lang w:val="en-GB"/>
        </w:rPr>
        <w:t>Table 6 – Likelihood of Execution by instrument (daily) in accordance with Article 6</w:t>
      </w:r>
    </w:p>
    <w:p w14:paraId="2C0DB379" w14:textId="76E005A5" w:rsidR="00D60AC2" w:rsidRPr="00995AAB" w:rsidRDefault="00D60AC2" w:rsidP="00D70E81">
      <w:pPr>
        <w:rPr>
          <w:lang w:val="en-GB"/>
        </w:rPr>
      </w:pPr>
      <w:r w:rsidRPr="00995AAB">
        <w:rPr>
          <w:bCs/>
          <w:lang w:val="en-GB"/>
        </w:rPr>
        <w:t xml:space="preserve">Table 9 – </w:t>
      </w:r>
      <w:r w:rsidRPr="00080375">
        <w:rPr>
          <w:bCs/>
          <w:iCs/>
          <w:lang w:val="en-GB"/>
        </w:rPr>
        <w:t>Information to be published as referred to in Article 8</w:t>
      </w:r>
    </w:p>
    <w:p w14:paraId="24AB0412" w14:textId="77777777" w:rsidR="00B36F11" w:rsidRPr="00995AAB" w:rsidRDefault="00B36F11" w:rsidP="00995AAB">
      <w:pPr>
        <w:pStyle w:val="Heading4"/>
        <w:rPr>
          <w:lang w:val="en-GB"/>
        </w:rPr>
      </w:pPr>
      <w:r w:rsidRPr="00995AAB">
        <w:rPr>
          <w:lang w:val="en-GB"/>
        </w:rPr>
        <w:t xml:space="preserve">Dark Pool – Firm Order Model </w:t>
      </w:r>
    </w:p>
    <w:p w14:paraId="4FC7FB95" w14:textId="77777777" w:rsidR="00B36F11" w:rsidRPr="00080375" w:rsidRDefault="00B36F11" w:rsidP="00B36F11">
      <w:pPr>
        <w:rPr>
          <w:lang w:val="en-GB"/>
        </w:rPr>
      </w:pPr>
      <w:r w:rsidRPr="00080375">
        <w:rPr>
          <w:lang w:val="en-GB"/>
        </w:rPr>
        <w:t>Table 1 – Identification Information to be published in accordance with Article 3</w:t>
      </w:r>
    </w:p>
    <w:p w14:paraId="460B6330" w14:textId="77777777" w:rsidR="00B36F11" w:rsidRPr="00995AAB" w:rsidRDefault="00B36F11" w:rsidP="00B36F11">
      <w:pPr>
        <w:rPr>
          <w:lang w:val="en-GB"/>
        </w:rPr>
      </w:pPr>
      <w:r w:rsidRPr="00995AAB">
        <w:rPr>
          <w:lang w:val="en-GB"/>
        </w:rPr>
        <w:t>Table 2 - Article 3(2): Instrument Identifier</w:t>
      </w:r>
    </w:p>
    <w:p w14:paraId="3DE8FD08" w14:textId="77777777" w:rsidR="00B36F11" w:rsidRPr="00995AAB" w:rsidRDefault="00B36F11" w:rsidP="00B36F11">
      <w:pPr>
        <w:rPr>
          <w:bCs/>
          <w:iCs/>
          <w:lang w:val="en-GB"/>
        </w:rPr>
      </w:pPr>
      <w:r w:rsidRPr="00080375">
        <w:rPr>
          <w:lang w:val="en-GB"/>
        </w:rPr>
        <w:t>Table 3 – Price Information to be published in accordance with Article 4(I)(a)</w:t>
      </w:r>
    </w:p>
    <w:p w14:paraId="2E3FF885" w14:textId="77777777" w:rsidR="00B36F11" w:rsidRPr="00080375" w:rsidRDefault="00B36F11" w:rsidP="00B36F11">
      <w:pPr>
        <w:rPr>
          <w:bCs/>
          <w:lang w:val="en-GB"/>
        </w:rPr>
      </w:pPr>
      <w:r w:rsidRPr="00080375">
        <w:rPr>
          <w:bCs/>
          <w:lang w:val="en-GB"/>
        </w:rPr>
        <w:t>Table 4 – Price Information to be published in accordance with Article 4(I)(b)</w:t>
      </w:r>
    </w:p>
    <w:p w14:paraId="672DCD45" w14:textId="77777777" w:rsidR="00B36F11" w:rsidRPr="00080375" w:rsidRDefault="00B36F11" w:rsidP="00B36F11">
      <w:pPr>
        <w:rPr>
          <w:bCs/>
          <w:lang w:val="en-GB"/>
        </w:rPr>
      </w:pPr>
      <w:r w:rsidRPr="00080375">
        <w:rPr>
          <w:bCs/>
          <w:lang w:val="en-GB"/>
        </w:rPr>
        <w:t>Table 5 – Costs information to be published in accordance with Article 5</w:t>
      </w:r>
    </w:p>
    <w:p w14:paraId="6328D0CB" w14:textId="77777777" w:rsidR="00B36F11" w:rsidRPr="00080375" w:rsidRDefault="00B36F11" w:rsidP="00B36F11">
      <w:pPr>
        <w:rPr>
          <w:bCs/>
          <w:lang w:val="en-GB"/>
        </w:rPr>
      </w:pPr>
      <w:r w:rsidRPr="00080375">
        <w:rPr>
          <w:bCs/>
          <w:lang w:val="en-GB"/>
        </w:rPr>
        <w:t>Table 6 – Likelihood of Execution by instrument (daily) in accordance with Article 6</w:t>
      </w:r>
    </w:p>
    <w:p w14:paraId="2FDED7D6" w14:textId="77777777" w:rsidR="00B36F11" w:rsidRPr="00080375" w:rsidRDefault="00B36F11" w:rsidP="00B36F11">
      <w:pPr>
        <w:rPr>
          <w:bCs/>
          <w:lang w:val="en-GB"/>
        </w:rPr>
      </w:pPr>
      <w:r w:rsidRPr="00080375">
        <w:rPr>
          <w:bCs/>
          <w:lang w:val="en-GB"/>
        </w:rPr>
        <w:t>Table 8 - Likelihood of Execution by instrument (daily) in accordance with Article 7.2</w:t>
      </w:r>
    </w:p>
    <w:p w14:paraId="130AE94A" w14:textId="77777777" w:rsidR="00B36F11" w:rsidRPr="00995AAB" w:rsidRDefault="00B36F11" w:rsidP="00995AAB">
      <w:pPr>
        <w:rPr>
          <w:lang w:val="en-GB"/>
        </w:rPr>
      </w:pPr>
    </w:p>
    <w:p w14:paraId="24A4665F" w14:textId="77777777" w:rsidR="00B36F11" w:rsidRPr="00995AAB" w:rsidRDefault="008C1AEC" w:rsidP="002005D5">
      <w:pPr>
        <w:pStyle w:val="Heading4"/>
        <w:rPr>
          <w:lang w:val="en-GB"/>
        </w:rPr>
      </w:pPr>
      <w:r w:rsidRPr="00995AAB">
        <w:rPr>
          <w:lang w:val="en-GB"/>
        </w:rPr>
        <w:t>Voice Trading</w:t>
      </w:r>
    </w:p>
    <w:p w14:paraId="51F7FD9D" w14:textId="77777777" w:rsidR="00B36F11" w:rsidRPr="00080375" w:rsidRDefault="00B36F11" w:rsidP="00B36F11">
      <w:pPr>
        <w:rPr>
          <w:lang w:val="en-GB"/>
        </w:rPr>
      </w:pPr>
      <w:r w:rsidRPr="00080375">
        <w:rPr>
          <w:lang w:val="en-GB"/>
        </w:rPr>
        <w:t>Table 1 – Identification Information to be published in accordance with Article 3</w:t>
      </w:r>
    </w:p>
    <w:p w14:paraId="31C9453B" w14:textId="77777777" w:rsidR="00B36F11" w:rsidRPr="00995AAB" w:rsidRDefault="00B36F11" w:rsidP="00B36F11">
      <w:pPr>
        <w:rPr>
          <w:lang w:val="en-GB"/>
        </w:rPr>
      </w:pPr>
      <w:r w:rsidRPr="00995AAB">
        <w:rPr>
          <w:lang w:val="en-GB"/>
        </w:rPr>
        <w:t>Table 2 - Article 3(2): Instrument Identifier</w:t>
      </w:r>
    </w:p>
    <w:p w14:paraId="1171B011" w14:textId="77777777" w:rsidR="00B36F11" w:rsidRPr="00995AAB" w:rsidRDefault="00B36F11" w:rsidP="00B36F11">
      <w:pPr>
        <w:rPr>
          <w:bCs/>
          <w:iCs/>
          <w:lang w:val="en-GB"/>
        </w:rPr>
      </w:pPr>
      <w:r w:rsidRPr="00080375">
        <w:rPr>
          <w:lang w:val="en-GB"/>
        </w:rPr>
        <w:t>Table 3 – Price Information to be published in accordance with Article 4(I)(a)</w:t>
      </w:r>
    </w:p>
    <w:p w14:paraId="517C4887" w14:textId="77777777" w:rsidR="00B36F11" w:rsidRPr="00080375" w:rsidRDefault="00B36F11" w:rsidP="00B36F11">
      <w:pPr>
        <w:rPr>
          <w:bCs/>
          <w:lang w:val="en-GB"/>
        </w:rPr>
      </w:pPr>
      <w:r w:rsidRPr="00080375">
        <w:rPr>
          <w:bCs/>
          <w:lang w:val="en-GB"/>
        </w:rPr>
        <w:t>Table 4 – Price Information to be published in accordance with Article 4(I)(b)</w:t>
      </w:r>
    </w:p>
    <w:p w14:paraId="27F74068" w14:textId="77777777" w:rsidR="00B36F11" w:rsidRPr="00080375" w:rsidRDefault="00B36F11" w:rsidP="00B36F11">
      <w:pPr>
        <w:rPr>
          <w:bCs/>
          <w:lang w:val="en-GB"/>
        </w:rPr>
      </w:pPr>
      <w:r w:rsidRPr="00080375">
        <w:rPr>
          <w:bCs/>
          <w:lang w:val="en-GB"/>
        </w:rPr>
        <w:t>Table 5 – Costs information to be published in accordance with Article 5</w:t>
      </w:r>
    </w:p>
    <w:p w14:paraId="536E95B2" w14:textId="77777777" w:rsidR="00B36F11" w:rsidRPr="00080375" w:rsidRDefault="00B36F11" w:rsidP="00B36F11">
      <w:pPr>
        <w:rPr>
          <w:bCs/>
          <w:lang w:val="en-GB"/>
        </w:rPr>
      </w:pPr>
      <w:r w:rsidRPr="00080375">
        <w:rPr>
          <w:bCs/>
          <w:lang w:val="en-GB"/>
        </w:rPr>
        <w:t>Table 6 – Likelihood of Execution by instrument (daily) in accordance with Article 6</w:t>
      </w:r>
    </w:p>
    <w:p w14:paraId="5471A52E" w14:textId="77777777" w:rsidR="00B36F11" w:rsidRPr="00080375" w:rsidRDefault="00B36F11" w:rsidP="00B36F11">
      <w:pPr>
        <w:rPr>
          <w:bCs/>
          <w:lang w:val="en-GB"/>
        </w:rPr>
      </w:pPr>
      <w:r w:rsidRPr="00995AAB">
        <w:rPr>
          <w:bCs/>
          <w:lang w:val="en-GB"/>
        </w:rPr>
        <w:t xml:space="preserve">Table 9 – </w:t>
      </w:r>
      <w:r w:rsidRPr="00080375">
        <w:rPr>
          <w:bCs/>
          <w:iCs/>
          <w:lang w:val="en-GB"/>
        </w:rPr>
        <w:t>Information to be published as referred to in Article 8</w:t>
      </w:r>
    </w:p>
    <w:p w14:paraId="26DAB58C" w14:textId="77777777" w:rsidR="008C1AEC" w:rsidRPr="00995AAB" w:rsidRDefault="008C1AEC" w:rsidP="00995AAB">
      <w:pPr>
        <w:rPr>
          <w:lang w:val="en-GB"/>
        </w:rPr>
      </w:pPr>
    </w:p>
    <w:p w14:paraId="2F737B8D" w14:textId="77777777" w:rsidR="00572A66" w:rsidRPr="00995AAB" w:rsidRDefault="00572A66" w:rsidP="00572A66">
      <w:pPr>
        <w:pStyle w:val="Heading4"/>
        <w:rPr>
          <w:lang w:val="en-GB"/>
        </w:rPr>
      </w:pPr>
      <w:r w:rsidRPr="00995AAB">
        <w:rPr>
          <w:lang w:val="en-GB"/>
        </w:rPr>
        <w:t>Auction</w:t>
      </w:r>
    </w:p>
    <w:p w14:paraId="7C5792D5" w14:textId="77777777" w:rsidR="00B36F11" w:rsidRPr="00080375" w:rsidRDefault="00B36F11" w:rsidP="00B36F11">
      <w:pPr>
        <w:rPr>
          <w:lang w:val="en-GB"/>
        </w:rPr>
      </w:pPr>
      <w:r w:rsidRPr="00080375">
        <w:rPr>
          <w:lang w:val="en-GB"/>
        </w:rPr>
        <w:t>Table 1 – Identification Information to be published in accordance with Article 3</w:t>
      </w:r>
    </w:p>
    <w:p w14:paraId="46A8E193" w14:textId="77777777" w:rsidR="00B36F11" w:rsidRPr="00995AAB" w:rsidRDefault="00B36F11" w:rsidP="00B36F11">
      <w:pPr>
        <w:rPr>
          <w:lang w:val="en-GB"/>
        </w:rPr>
      </w:pPr>
      <w:r w:rsidRPr="00995AAB">
        <w:rPr>
          <w:lang w:val="en-GB"/>
        </w:rPr>
        <w:t>Table 2 - Article 3(2): Instrument Identifier</w:t>
      </w:r>
    </w:p>
    <w:p w14:paraId="57E2A954" w14:textId="77777777" w:rsidR="00B36F11" w:rsidRPr="00995AAB" w:rsidRDefault="00B36F11" w:rsidP="00B36F11">
      <w:pPr>
        <w:rPr>
          <w:bCs/>
          <w:iCs/>
          <w:lang w:val="en-GB"/>
        </w:rPr>
      </w:pPr>
      <w:r w:rsidRPr="00080375">
        <w:rPr>
          <w:lang w:val="en-GB"/>
        </w:rPr>
        <w:t>Table 3 – Price Information to be published in accordance with Article 4(I)(a)</w:t>
      </w:r>
    </w:p>
    <w:p w14:paraId="2D86EF0E" w14:textId="77777777" w:rsidR="00B36F11" w:rsidRPr="00080375" w:rsidRDefault="00B36F11" w:rsidP="00B36F11">
      <w:pPr>
        <w:rPr>
          <w:bCs/>
          <w:lang w:val="en-GB"/>
        </w:rPr>
      </w:pPr>
      <w:r w:rsidRPr="00080375">
        <w:rPr>
          <w:bCs/>
          <w:lang w:val="en-GB"/>
        </w:rPr>
        <w:t>Table 4 – Price Information to be published in accordance with Article 4(I)(b)</w:t>
      </w:r>
    </w:p>
    <w:p w14:paraId="2C8DC960" w14:textId="77777777" w:rsidR="00B36F11" w:rsidRPr="00080375" w:rsidRDefault="00B36F11" w:rsidP="00B36F11">
      <w:pPr>
        <w:rPr>
          <w:bCs/>
          <w:lang w:val="en-GB"/>
        </w:rPr>
      </w:pPr>
      <w:r w:rsidRPr="00080375">
        <w:rPr>
          <w:bCs/>
          <w:lang w:val="en-GB"/>
        </w:rPr>
        <w:t>Table 5 – Costs information to be published in accordance with Article 5</w:t>
      </w:r>
    </w:p>
    <w:p w14:paraId="567320D2" w14:textId="77777777" w:rsidR="00B36F11" w:rsidRPr="00080375" w:rsidRDefault="00B36F11" w:rsidP="00B36F11">
      <w:pPr>
        <w:rPr>
          <w:bCs/>
          <w:lang w:val="en-GB"/>
        </w:rPr>
      </w:pPr>
      <w:r w:rsidRPr="00080375">
        <w:rPr>
          <w:bCs/>
          <w:lang w:val="en-GB"/>
        </w:rPr>
        <w:t>Table 6 – Likelihood of Execution by instrument (daily) in accordance with Article 6</w:t>
      </w:r>
    </w:p>
    <w:p w14:paraId="19BEF3EE" w14:textId="77777777" w:rsidR="00B36F11" w:rsidRPr="00080375" w:rsidRDefault="00B36F11" w:rsidP="00B36F11">
      <w:pPr>
        <w:rPr>
          <w:bCs/>
          <w:lang w:val="en-GB"/>
        </w:rPr>
      </w:pPr>
      <w:r w:rsidRPr="00080375">
        <w:rPr>
          <w:bCs/>
          <w:lang w:val="en-GB"/>
        </w:rPr>
        <w:t>Table 8 - Likelihood of Execution by instrument (daily) in accordance with Article 7.2</w:t>
      </w:r>
    </w:p>
    <w:p w14:paraId="2A88B644" w14:textId="77777777" w:rsidR="00D70E81" w:rsidRPr="00995AAB" w:rsidRDefault="00D70E81" w:rsidP="00CB1801">
      <w:pPr>
        <w:rPr>
          <w:lang w:val="en-GB"/>
        </w:rPr>
      </w:pPr>
    </w:p>
    <w:p w14:paraId="706C431C" w14:textId="77777777" w:rsidR="00F37117" w:rsidRPr="00995AAB" w:rsidRDefault="00F37117" w:rsidP="00F37117">
      <w:pPr>
        <w:rPr>
          <w:b/>
          <w:lang w:val="en-GB"/>
        </w:rPr>
      </w:pPr>
      <w:r w:rsidRPr="00995AAB">
        <w:rPr>
          <w:b/>
          <w:lang w:val="en-GB"/>
        </w:rPr>
        <w:t>Table 1</w:t>
      </w:r>
    </w:p>
    <w:p w14:paraId="29F69F63" w14:textId="239ACCAB" w:rsidR="00F37117" w:rsidRPr="00995AAB" w:rsidRDefault="00F37117" w:rsidP="00F37117">
      <w:pPr>
        <w:rPr>
          <w:lang w:val="en-GB"/>
        </w:rPr>
      </w:pPr>
      <w:r w:rsidRPr="00995AAB">
        <w:rPr>
          <w:lang w:val="en-GB"/>
        </w:rPr>
        <w:t xml:space="preserve">No implications with regards to auctions. </w:t>
      </w:r>
    </w:p>
    <w:p w14:paraId="754D610B" w14:textId="77777777" w:rsidR="00F37117" w:rsidRPr="00995AAB" w:rsidRDefault="00F37117" w:rsidP="00F37117">
      <w:pPr>
        <w:rPr>
          <w:lang w:val="en-GB"/>
        </w:rPr>
      </w:pPr>
    </w:p>
    <w:p w14:paraId="3490D929" w14:textId="77777777" w:rsidR="00F37117" w:rsidRPr="00995AAB" w:rsidRDefault="00F37117" w:rsidP="00F37117">
      <w:pPr>
        <w:rPr>
          <w:b/>
          <w:lang w:val="en-GB"/>
        </w:rPr>
      </w:pPr>
      <w:r w:rsidRPr="00995AAB">
        <w:rPr>
          <w:b/>
          <w:lang w:val="en-GB"/>
        </w:rPr>
        <w:t>Table 2</w:t>
      </w:r>
    </w:p>
    <w:p w14:paraId="5C880970" w14:textId="77777777" w:rsidR="00F37117" w:rsidRPr="00995AAB" w:rsidRDefault="00F37117" w:rsidP="00F37117">
      <w:pPr>
        <w:rPr>
          <w:lang w:val="en-GB"/>
        </w:rPr>
      </w:pPr>
      <w:r w:rsidRPr="00995AAB">
        <w:rPr>
          <w:lang w:val="en-GB"/>
        </w:rPr>
        <w:t xml:space="preserve">No implications with regards to auctions. </w:t>
      </w:r>
    </w:p>
    <w:p w14:paraId="6F1B911F" w14:textId="172E0E09" w:rsidR="00F37117" w:rsidRPr="00995AAB" w:rsidRDefault="00F37117" w:rsidP="00F37117">
      <w:pPr>
        <w:rPr>
          <w:lang w:val="en-GB"/>
        </w:rPr>
      </w:pPr>
    </w:p>
    <w:p w14:paraId="0F9B5670" w14:textId="77777777" w:rsidR="00F37117" w:rsidRPr="00995AAB" w:rsidRDefault="00F37117" w:rsidP="00F37117">
      <w:pPr>
        <w:rPr>
          <w:b/>
          <w:lang w:val="en-GB"/>
        </w:rPr>
      </w:pPr>
      <w:r w:rsidRPr="00995AAB">
        <w:rPr>
          <w:b/>
          <w:lang w:val="en-GB"/>
        </w:rPr>
        <w:t>Table 3</w:t>
      </w:r>
    </w:p>
    <w:p w14:paraId="554FCA0C" w14:textId="77777777" w:rsidR="00F37117" w:rsidRPr="00995AAB" w:rsidRDefault="00F37117" w:rsidP="00F37117">
      <w:pPr>
        <w:rPr>
          <w:b/>
          <w:lang w:val="en-GB"/>
        </w:rPr>
      </w:pPr>
    </w:p>
    <w:tbl>
      <w:tblPr>
        <w:tblW w:w="10860" w:type="dxa"/>
        <w:tblInd w:w="-741" w:type="dxa"/>
        <w:tblLook w:val="04A0" w:firstRow="1" w:lastRow="0" w:firstColumn="1" w:lastColumn="0" w:noHBand="0" w:noVBand="1"/>
      </w:tblPr>
      <w:tblGrid>
        <w:gridCol w:w="911"/>
        <w:gridCol w:w="669"/>
        <w:gridCol w:w="1192"/>
        <w:gridCol w:w="1191"/>
        <w:gridCol w:w="925"/>
        <w:gridCol w:w="980"/>
        <w:gridCol w:w="1072"/>
        <w:gridCol w:w="980"/>
        <w:gridCol w:w="980"/>
        <w:gridCol w:w="980"/>
        <w:gridCol w:w="980"/>
      </w:tblGrid>
      <w:tr w:rsidR="00F37117" w:rsidRPr="00080375" w14:paraId="7A63F7F1" w14:textId="77777777" w:rsidTr="007B4890">
        <w:trPr>
          <w:trHeight w:val="660"/>
        </w:trPr>
        <w:tc>
          <w:tcPr>
            <w:tcW w:w="911" w:type="dxa"/>
            <w:tcBorders>
              <w:top w:val="single" w:sz="8" w:space="0" w:color="auto"/>
              <w:left w:val="single" w:sz="8" w:space="0" w:color="auto"/>
              <w:bottom w:val="single" w:sz="4" w:space="0" w:color="auto"/>
              <w:right w:val="nil"/>
            </w:tcBorders>
            <w:shd w:val="clear" w:color="000000" w:fill="D9D9D9"/>
            <w:hideMark/>
          </w:tcPr>
          <w:p w14:paraId="71071383"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c>
          <w:tcPr>
            <w:tcW w:w="669" w:type="dxa"/>
            <w:tcBorders>
              <w:top w:val="single" w:sz="8" w:space="0" w:color="auto"/>
              <w:left w:val="nil"/>
              <w:bottom w:val="single" w:sz="4" w:space="0" w:color="auto"/>
              <w:right w:val="nil"/>
            </w:tcBorders>
            <w:shd w:val="clear" w:color="000000" w:fill="D9D9D9"/>
            <w:hideMark/>
          </w:tcPr>
          <w:p w14:paraId="37846AAC"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Size Range</w:t>
            </w:r>
          </w:p>
        </w:tc>
        <w:tc>
          <w:tcPr>
            <w:tcW w:w="2383" w:type="dxa"/>
            <w:gridSpan w:val="2"/>
            <w:tcBorders>
              <w:top w:val="single" w:sz="8" w:space="0" w:color="auto"/>
              <w:left w:val="single" w:sz="4" w:space="0" w:color="auto"/>
              <w:bottom w:val="single" w:sz="4" w:space="0" w:color="auto"/>
              <w:right w:val="single" w:sz="4" w:space="0" w:color="auto"/>
            </w:tcBorders>
            <w:shd w:val="clear" w:color="000000" w:fill="D9D9D9"/>
            <w:hideMark/>
          </w:tcPr>
          <w:p w14:paraId="6DFD197B" w14:textId="77777777" w:rsidR="00F37117" w:rsidRPr="00995AAB" w:rsidRDefault="00F37117" w:rsidP="007B4890">
            <w:pPr>
              <w:jc w:val="center"/>
              <w:rPr>
                <w:rFonts w:ascii="Calibri" w:hAnsi="Calibri"/>
                <w:color w:val="000000"/>
                <w:sz w:val="16"/>
                <w:szCs w:val="16"/>
                <w:lang w:val="en-GB"/>
              </w:rPr>
            </w:pPr>
            <w:r w:rsidRPr="00995AAB">
              <w:rPr>
                <w:rFonts w:ascii="Calibri" w:hAnsi="Calibri"/>
                <w:color w:val="000000"/>
                <w:sz w:val="16"/>
                <w:szCs w:val="16"/>
                <w:lang w:val="en-GB"/>
              </w:rPr>
              <w:t>All Trades Executed within 2 minutes after time T</w:t>
            </w:r>
          </w:p>
        </w:tc>
        <w:tc>
          <w:tcPr>
            <w:tcW w:w="6897" w:type="dxa"/>
            <w:gridSpan w:val="7"/>
            <w:tcBorders>
              <w:top w:val="single" w:sz="8" w:space="0" w:color="auto"/>
              <w:left w:val="nil"/>
              <w:bottom w:val="single" w:sz="4" w:space="0" w:color="auto"/>
              <w:right w:val="single" w:sz="8" w:space="0" w:color="000000"/>
            </w:tcBorders>
            <w:shd w:val="clear" w:color="000000" w:fill="D9D9D9"/>
            <w:hideMark/>
          </w:tcPr>
          <w:p w14:paraId="21C76B16" w14:textId="77777777" w:rsidR="00F37117" w:rsidRPr="00995AAB" w:rsidRDefault="00F37117" w:rsidP="007B4890">
            <w:pPr>
              <w:jc w:val="center"/>
              <w:rPr>
                <w:rFonts w:ascii="Calibri" w:hAnsi="Calibri"/>
                <w:color w:val="000000"/>
                <w:sz w:val="16"/>
                <w:szCs w:val="16"/>
                <w:lang w:val="en-GB"/>
              </w:rPr>
            </w:pPr>
            <w:r w:rsidRPr="00995AAB">
              <w:rPr>
                <w:rFonts w:ascii="Calibri" w:hAnsi="Calibri"/>
                <w:color w:val="000000"/>
                <w:sz w:val="16"/>
                <w:szCs w:val="16"/>
                <w:lang w:val="en-GB"/>
              </w:rPr>
              <w:t>First Transaction after time T (if no transaction within two minutes after time T)</w:t>
            </w:r>
          </w:p>
        </w:tc>
      </w:tr>
      <w:tr w:rsidR="00F37117" w:rsidRPr="00080375" w14:paraId="2A50F535" w14:textId="77777777" w:rsidTr="007B4890">
        <w:trPr>
          <w:trHeight w:val="1460"/>
        </w:trPr>
        <w:tc>
          <w:tcPr>
            <w:tcW w:w="911" w:type="dxa"/>
            <w:tcBorders>
              <w:top w:val="nil"/>
              <w:left w:val="single" w:sz="8" w:space="0" w:color="auto"/>
              <w:bottom w:val="single" w:sz="4" w:space="0" w:color="auto"/>
              <w:right w:val="nil"/>
            </w:tcBorders>
            <w:shd w:val="clear" w:color="000000" w:fill="D9D9D9"/>
            <w:vAlign w:val="bottom"/>
            <w:hideMark/>
          </w:tcPr>
          <w:p w14:paraId="682BC74B"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Time (T)</w:t>
            </w:r>
          </w:p>
        </w:tc>
        <w:tc>
          <w:tcPr>
            <w:tcW w:w="669" w:type="dxa"/>
            <w:tcBorders>
              <w:top w:val="nil"/>
              <w:left w:val="nil"/>
              <w:bottom w:val="single" w:sz="4" w:space="0" w:color="auto"/>
              <w:right w:val="nil"/>
            </w:tcBorders>
            <w:shd w:val="clear" w:color="000000" w:fill="D9D9D9"/>
            <w:vAlign w:val="bottom"/>
            <w:hideMark/>
          </w:tcPr>
          <w:p w14:paraId="72897411"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c>
          <w:tcPr>
            <w:tcW w:w="1192" w:type="dxa"/>
            <w:tcBorders>
              <w:top w:val="nil"/>
              <w:left w:val="single" w:sz="4" w:space="0" w:color="auto"/>
              <w:bottom w:val="single" w:sz="4" w:space="0" w:color="auto"/>
              <w:right w:val="single" w:sz="4" w:space="0" w:color="auto"/>
            </w:tcBorders>
            <w:shd w:val="clear" w:color="000000" w:fill="D9D9D9"/>
            <w:vAlign w:val="bottom"/>
            <w:hideMark/>
          </w:tcPr>
          <w:p w14:paraId="1E3698A1" w14:textId="77777777" w:rsidR="00F37117" w:rsidRPr="00995AAB" w:rsidRDefault="00F37117" w:rsidP="007B4890">
            <w:pPr>
              <w:jc w:val="center"/>
              <w:rPr>
                <w:rFonts w:ascii="Calibri" w:hAnsi="Calibri"/>
                <w:color w:val="000000"/>
                <w:sz w:val="16"/>
                <w:szCs w:val="16"/>
                <w:lang w:val="en-GB"/>
              </w:rPr>
            </w:pPr>
            <w:r w:rsidRPr="00995AAB">
              <w:rPr>
                <w:rFonts w:ascii="Calibri" w:hAnsi="Calibri"/>
                <w:color w:val="000000"/>
                <w:sz w:val="16"/>
                <w:szCs w:val="16"/>
                <w:lang w:val="en-GB"/>
              </w:rPr>
              <w:t>Simple average executed price</w:t>
            </w:r>
          </w:p>
        </w:tc>
        <w:tc>
          <w:tcPr>
            <w:tcW w:w="1191" w:type="dxa"/>
            <w:tcBorders>
              <w:top w:val="nil"/>
              <w:left w:val="nil"/>
              <w:bottom w:val="single" w:sz="4" w:space="0" w:color="auto"/>
              <w:right w:val="single" w:sz="4" w:space="0" w:color="auto"/>
            </w:tcBorders>
            <w:shd w:val="clear" w:color="000000" w:fill="D9D9D9"/>
            <w:vAlign w:val="bottom"/>
            <w:hideMark/>
          </w:tcPr>
          <w:p w14:paraId="2F8A140F" w14:textId="77777777" w:rsidR="00F37117" w:rsidRPr="00995AAB" w:rsidRDefault="00F37117" w:rsidP="007B4890">
            <w:pPr>
              <w:jc w:val="center"/>
              <w:rPr>
                <w:rFonts w:ascii="Calibri" w:hAnsi="Calibri"/>
                <w:color w:val="000000"/>
                <w:sz w:val="16"/>
                <w:szCs w:val="16"/>
                <w:lang w:val="en-GB"/>
              </w:rPr>
            </w:pPr>
            <w:r w:rsidRPr="00995AAB">
              <w:rPr>
                <w:rFonts w:ascii="Calibri" w:hAnsi="Calibri"/>
                <w:color w:val="000000"/>
                <w:sz w:val="16"/>
                <w:szCs w:val="16"/>
                <w:lang w:val="en-GB"/>
              </w:rPr>
              <w:t>Total Value Executed</w:t>
            </w:r>
          </w:p>
        </w:tc>
        <w:tc>
          <w:tcPr>
            <w:tcW w:w="925" w:type="dxa"/>
            <w:tcBorders>
              <w:top w:val="nil"/>
              <w:left w:val="nil"/>
              <w:bottom w:val="single" w:sz="4" w:space="0" w:color="auto"/>
              <w:right w:val="single" w:sz="4" w:space="0" w:color="auto"/>
            </w:tcBorders>
            <w:shd w:val="clear" w:color="000000" w:fill="D9D9D9"/>
            <w:vAlign w:val="bottom"/>
            <w:hideMark/>
          </w:tcPr>
          <w:p w14:paraId="5F30466F"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Price</w:t>
            </w:r>
          </w:p>
        </w:tc>
        <w:tc>
          <w:tcPr>
            <w:tcW w:w="980" w:type="dxa"/>
            <w:tcBorders>
              <w:top w:val="nil"/>
              <w:left w:val="nil"/>
              <w:bottom w:val="single" w:sz="4" w:space="0" w:color="auto"/>
              <w:right w:val="single" w:sz="4" w:space="0" w:color="auto"/>
            </w:tcBorders>
            <w:shd w:val="clear" w:color="000000" w:fill="D9D9D9"/>
            <w:vAlign w:val="bottom"/>
            <w:hideMark/>
          </w:tcPr>
          <w:p w14:paraId="5A0AF8FF"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Time of Execution</w:t>
            </w:r>
          </w:p>
        </w:tc>
        <w:tc>
          <w:tcPr>
            <w:tcW w:w="1072" w:type="dxa"/>
            <w:tcBorders>
              <w:top w:val="nil"/>
              <w:left w:val="nil"/>
              <w:bottom w:val="single" w:sz="4" w:space="0" w:color="auto"/>
              <w:right w:val="single" w:sz="4" w:space="0" w:color="auto"/>
            </w:tcBorders>
            <w:shd w:val="clear" w:color="000000" w:fill="D9D9D9"/>
            <w:vAlign w:val="bottom"/>
            <w:hideMark/>
          </w:tcPr>
          <w:p w14:paraId="71FF4552"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Transaction Size</w:t>
            </w:r>
          </w:p>
        </w:tc>
        <w:tc>
          <w:tcPr>
            <w:tcW w:w="980" w:type="dxa"/>
            <w:tcBorders>
              <w:top w:val="nil"/>
              <w:left w:val="nil"/>
              <w:bottom w:val="single" w:sz="4" w:space="0" w:color="auto"/>
              <w:right w:val="single" w:sz="4" w:space="0" w:color="auto"/>
            </w:tcBorders>
            <w:shd w:val="clear" w:color="000000" w:fill="D9D9D9"/>
            <w:vAlign w:val="bottom"/>
            <w:hideMark/>
          </w:tcPr>
          <w:p w14:paraId="69135033"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Trading System</w:t>
            </w:r>
          </w:p>
        </w:tc>
        <w:tc>
          <w:tcPr>
            <w:tcW w:w="980" w:type="dxa"/>
            <w:tcBorders>
              <w:top w:val="nil"/>
              <w:left w:val="nil"/>
              <w:bottom w:val="single" w:sz="4" w:space="0" w:color="auto"/>
              <w:right w:val="single" w:sz="4" w:space="0" w:color="auto"/>
            </w:tcBorders>
            <w:shd w:val="clear" w:color="000000" w:fill="D9D9D9"/>
            <w:vAlign w:val="bottom"/>
            <w:hideMark/>
          </w:tcPr>
          <w:p w14:paraId="24F8A6A5"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Trading Mode</w:t>
            </w:r>
          </w:p>
        </w:tc>
        <w:tc>
          <w:tcPr>
            <w:tcW w:w="980" w:type="dxa"/>
            <w:tcBorders>
              <w:top w:val="nil"/>
              <w:left w:val="nil"/>
              <w:bottom w:val="single" w:sz="4" w:space="0" w:color="auto"/>
              <w:right w:val="single" w:sz="4" w:space="0" w:color="auto"/>
            </w:tcBorders>
            <w:shd w:val="clear" w:color="000000" w:fill="D9D9D9"/>
            <w:vAlign w:val="bottom"/>
            <w:hideMark/>
          </w:tcPr>
          <w:p w14:paraId="721DD3EA"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xml:space="preserve">Trading Platform </w:t>
            </w:r>
          </w:p>
        </w:tc>
        <w:tc>
          <w:tcPr>
            <w:tcW w:w="980" w:type="dxa"/>
            <w:tcBorders>
              <w:top w:val="nil"/>
              <w:left w:val="nil"/>
              <w:bottom w:val="single" w:sz="4" w:space="0" w:color="auto"/>
              <w:right w:val="single" w:sz="8" w:space="0" w:color="auto"/>
            </w:tcBorders>
            <w:shd w:val="clear" w:color="000000" w:fill="D9D9D9"/>
            <w:vAlign w:val="bottom"/>
            <w:hideMark/>
          </w:tcPr>
          <w:p w14:paraId="7D57BF40"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Best Bid/Offer or suitable reference price at time of execution</w:t>
            </w:r>
          </w:p>
        </w:tc>
      </w:tr>
      <w:tr w:rsidR="00F37117" w:rsidRPr="00080375" w14:paraId="2A372CE1" w14:textId="77777777" w:rsidTr="007B4890">
        <w:trPr>
          <w:trHeight w:val="320"/>
        </w:trPr>
        <w:tc>
          <w:tcPr>
            <w:tcW w:w="911" w:type="dxa"/>
            <w:tcBorders>
              <w:top w:val="nil"/>
              <w:left w:val="single" w:sz="8" w:space="0" w:color="auto"/>
              <w:bottom w:val="single" w:sz="4" w:space="0" w:color="auto"/>
              <w:right w:val="nil"/>
            </w:tcBorders>
            <w:shd w:val="clear" w:color="000000" w:fill="D9D9D9"/>
            <w:hideMark/>
          </w:tcPr>
          <w:p w14:paraId="7EDBCEF0"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09.30.00</w:t>
            </w:r>
          </w:p>
        </w:tc>
        <w:tc>
          <w:tcPr>
            <w:tcW w:w="669" w:type="dxa"/>
            <w:tcBorders>
              <w:top w:val="nil"/>
              <w:left w:val="nil"/>
              <w:bottom w:val="single" w:sz="4" w:space="0" w:color="auto"/>
              <w:right w:val="nil"/>
            </w:tcBorders>
            <w:shd w:val="clear" w:color="000000" w:fill="D9D9D9"/>
            <w:hideMark/>
          </w:tcPr>
          <w:p w14:paraId="519EC17A" w14:textId="77777777" w:rsidR="00F37117" w:rsidRPr="00995AAB" w:rsidRDefault="00F37117" w:rsidP="007B4890">
            <w:pPr>
              <w:jc w:val="center"/>
              <w:rPr>
                <w:rFonts w:ascii="Calibri" w:hAnsi="Calibri"/>
                <w:color w:val="FF0000"/>
                <w:sz w:val="16"/>
                <w:szCs w:val="16"/>
                <w:lang w:val="en-GB"/>
              </w:rPr>
            </w:pPr>
            <w:r w:rsidRPr="00995AAB">
              <w:rPr>
                <w:rFonts w:ascii="Calibri" w:hAnsi="Calibri"/>
                <w:color w:val="FF0000"/>
                <w:sz w:val="16"/>
                <w:szCs w:val="16"/>
                <w:lang w:val="en-GB"/>
              </w:rPr>
              <w:t>1</w:t>
            </w:r>
          </w:p>
        </w:tc>
        <w:tc>
          <w:tcPr>
            <w:tcW w:w="1192" w:type="dxa"/>
            <w:tcBorders>
              <w:top w:val="nil"/>
              <w:left w:val="single" w:sz="4" w:space="0" w:color="auto"/>
              <w:bottom w:val="single" w:sz="4" w:space="0" w:color="auto"/>
              <w:right w:val="single" w:sz="4" w:space="0" w:color="auto"/>
            </w:tcBorders>
            <w:shd w:val="clear" w:color="auto" w:fill="auto"/>
            <w:vAlign w:val="center"/>
            <w:hideMark/>
          </w:tcPr>
          <w:p w14:paraId="52713B90" w14:textId="77777777" w:rsidR="00F37117" w:rsidRPr="00995AAB" w:rsidRDefault="00F37117" w:rsidP="007B4890">
            <w:pPr>
              <w:rPr>
                <w:rFonts w:ascii="Calibri" w:hAnsi="Calibri"/>
                <w:color w:val="FF0000"/>
                <w:sz w:val="16"/>
                <w:szCs w:val="16"/>
                <w:lang w:val="en-GB"/>
              </w:rPr>
            </w:pPr>
            <w:r w:rsidRPr="00995AAB">
              <w:rPr>
                <w:rFonts w:ascii="Calibri" w:hAnsi="Calibri"/>
                <w:color w:val="FF0000"/>
                <w:sz w:val="16"/>
                <w:szCs w:val="16"/>
                <w:lang w:val="en-GB"/>
              </w:rPr>
              <w:t>3a)</w:t>
            </w:r>
          </w:p>
        </w:tc>
        <w:tc>
          <w:tcPr>
            <w:tcW w:w="1191" w:type="dxa"/>
            <w:tcBorders>
              <w:top w:val="nil"/>
              <w:left w:val="nil"/>
              <w:bottom w:val="single" w:sz="4" w:space="0" w:color="auto"/>
              <w:right w:val="single" w:sz="4" w:space="0" w:color="auto"/>
            </w:tcBorders>
            <w:shd w:val="clear" w:color="auto" w:fill="auto"/>
            <w:vAlign w:val="center"/>
            <w:hideMark/>
          </w:tcPr>
          <w:p w14:paraId="5D06DFC6" w14:textId="77777777" w:rsidR="00F37117" w:rsidRPr="00995AAB" w:rsidRDefault="00F37117" w:rsidP="007B4890">
            <w:pPr>
              <w:rPr>
                <w:rFonts w:ascii="Calibri" w:hAnsi="Calibri"/>
                <w:color w:val="FF0000"/>
                <w:sz w:val="16"/>
                <w:szCs w:val="16"/>
                <w:lang w:val="en-GB"/>
              </w:rPr>
            </w:pPr>
            <w:r w:rsidRPr="00995AAB">
              <w:rPr>
                <w:rFonts w:ascii="Calibri" w:hAnsi="Calibri"/>
                <w:color w:val="FF0000"/>
                <w:sz w:val="16"/>
                <w:szCs w:val="16"/>
                <w:lang w:val="en-GB"/>
              </w:rPr>
              <w:t>3b)</w:t>
            </w:r>
          </w:p>
        </w:tc>
        <w:tc>
          <w:tcPr>
            <w:tcW w:w="925" w:type="dxa"/>
            <w:tcBorders>
              <w:top w:val="nil"/>
              <w:left w:val="nil"/>
              <w:bottom w:val="single" w:sz="4" w:space="0" w:color="auto"/>
              <w:right w:val="single" w:sz="4" w:space="0" w:color="auto"/>
            </w:tcBorders>
            <w:shd w:val="clear" w:color="auto" w:fill="auto"/>
            <w:vAlign w:val="center"/>
            <w:hideMark/>
          </w:tcPr>
          <w:p w14:paraId="6BC38E50" w14:textId="77777777" w:rsidR="00F37117" w:rsidRPr="00995AAB" w:rsidRDefault="00F37117" w:rsidP="007B4890">
            <w:pPr>
              <w:rPr>
                <w:rFonts w:ascii="Calibri" w:hAnsi="Calibri"/>
                <w:color w:val="FF0000"/>
                <w:sz w:val="16"/>
                <w:szCs w:val="16"/>
                <w:lang w:val="en-GB"/>
              </w:rPr>
            </w:pPr>
            <w:r w:rsidRPr="00995AAB">
              <w:rPr>
                <w:rFonts w:ascii="Calibri" w:hAnsi="Calibri"/>
                <w:color w:val="FF0000"/>
                <w:sz w:val="16"/>
                <w:szCs w:val="16"/>
                <w:lang w:val="en-GB"/>
              </w:rPr>
              <w:t xml:space="preserve"> 3c)</w:t>
            </w:r>
          </w:p>
        </w:tc>
        <w:tc>
          <w:tcPr>
            <w:tcW w:w="980" w:type="dxa"/>
            <w:tcBorders>
              <w:top w:val="nil"/>
              <w:left w:val="nil"/>
              <w:bottom w:val="single" w:sz="4" w:space="0" w:color="auto"/>
              <w:right w:val="single" w:sz="4" w:space="0" w:color="auto"/>
            </w:tcBorders>
            <w:shd w:val="clear" w:color="auto" w:fill="auto"/>
            <w:noWrap/>
            <w:vAlign w:val="center"/>
            <w:hideMark/>
          </w:tcPr>
          <w:p w14:paraId="483775AB" w14:textId="77777777" w:rsidR="00F37117" w:rsidRPr="00995AAB" w:rsidRDefault="00F37117" w:rsidP="007B4890">
            <w:pPr>
              <w:rPr>
                <w:rFonts w:ascii="Calibri" w:hAnsi="Calibri"/>
                <w:color w:val="FF0000"/>
                <w:sz w:val="16"/>
                <w:szCs w:val="16"/>
                <w:lang w:val="en-GB"/>
              </w:rPr>
            </w:pPr>
            <w:r w:rsidRPr="00995AAB">
              <w:rPr>
                <w:rFonts w:ascii="Calibri" w:hAnsi="Calibri"/>
                <w:color w:val="FF0000"/>
                <w:sz w:val="16"/>
                <w:szCs w:val="16"/>
                <w:lang w:val="en-GB"/>
              </w:rPr>
              <w:t>3d)</w:t>
            </w:r>
          </w:p>
        </w:tc>
        <w:tc>
          <w:tcPr>
            <w:tcW w:w="1072" w:type="dxa"/>
            <w:tcBorders>
              <w:top w:val="nil"/>
              <w:left w:val="nil"/>
              <w:bottom w:val="single" w:sz="4" w:space="0" w:color="auto"/>
              <w:right w:val="single" w:sz="4" w:space="0" w:color="auto"/>
            </w:tcBorders>
            <w:shd w:val="clear" w:color="auto" w:fill="auto"/>
            <w:noWrap/>
            <w:vAlign w:val="center"/>
            <w:hideMark/>
          </w:tcPr>
          <w:p w14:paraId="12A9FC76" w14:textId="77777777" w:rsidR="00F37117" w:rsidRPr="00995AAB" w:rsidRDefault="00F37117" w:rsidP="007B4890">
            <w:pPr>
              <w:rPr>
                <w:rFonts w:ascii="Calibri" w:hAnsi="Calibri"/>
                <w:color w:val="FF0000"/>
                <w:sz w:val="16"/>
                <w:szCs w:val="16"/>
                <w:lang w:val="en-GB"/>
              </w:rPr>
            </w:pPr>
            <w:r w:rsidRPr="00995AAB">
              <w:rPr>
                <w:rFonts w:ascii="Calibri" w:hAnsi="Calibri"/>
                <w:color w:val="FF0000"/>
                <w:sz w:val="16"/>
                <w:szCs w:val="16"/>
                <w:lang w:val="en-GB"/>
              </w:rPr>
              <w:t>3i)</w:t>
            </w:r>
          </w:p>
        </w:tc>
        <w:tc>
          <w:tcPr>
            <w:tcW w:w="980" w:type="dxa"/>
            <w:tcBorders>
              <w:top w:val="nil"/>
              <w:left w:val="nil"/>
              <w:bottom w:val="single" w:sz="4" w:space="0" w:color="auto"/>
              <w:right w:val="single" w:sz="4" w:space="0" w:color="auto"/>
            </w:tcBorders>
            <w:shd w:val="clear" w:color="auto" w:fill="auto"/>
            <w:noWrap/>
            <w:vAlign w:val="center"/>
            <w:hideMark/>
          </w:tcPr>
          <w:p w14:paraId="1E46FE74" w14:textId="77777777" w:rsidR="00F37117" w:rsidRPr="00995AAB" w:rsidRDefault="00F37117" w:rsidP="007B4890">
            <w:pPr>
              <w:rPr>
                <w:rFonts w:ascii="Calibri" w:hAnsi="Calibri"/>
                <w:color w:val="FF0000"/>
                <w:sz w:val="16"/>
                <w:szCs w:val="16"/>
                <w:lang w:val="en-GB"/>
              </w:rPr>
            </w:pPr>
            <w:r w:rsidRPr="00995AAB">
              <w:rPr>
                <w:rFonts w:ascii="Calibri" w:hAnsi="Calibri"/>
                <w:color w:val="FF0000"/>
                <w:sz w:val="16"/>
                <w:szCs w:val="16"/>
                <w:lang w:val="en-GB"/>
              </w:rPr>
              <w:t>3f)</w:t>
            </w:r>
          </w:p>
        </w:tc>
        <w:tc>
          <w:tcPr>
            <w:tcW w:w="980" w:type="dxa"/>
            <w:tcBorders>
              <w:top w:val="nil"/>
              <w:left w:val="nil"/>
              <w:bottom w:val="single" w:sz="4" w:space="0" w:color="auto"/>
              <w:right w:val="single" w:sz="4" w:space="0" w:color="auto"/>
            </w:tcBorders>
            <w:shd w:val="clear" w:color="auto" w:fill="auto"/>
            <w:noWrap/>
            <w:vAlign w:val="center"/>
            <w:hideMark/>
          </w:tcPr>
          <w:p w14:paraId="249C7BD6" w14:textId="77777777" w:rsidR="00F37117" w:rsidRPr="00995AAB" w:rsidRDefault="00F37117" w:rsidP="007B4890">
            <w:pPr>
              <w:rPr>
                <w:rFonts w:ascii="Calibri" w:hAnsi="Calibri"/>
                <w:color w:val="FF0000"/>
                <w:sz w:val="16"/>
                <w:szCs w:val="16"/>
                <w:lang w:val="en-GB"/>
              </w:rPr>
            </w:pPr>
            <w:r w:rsidRPr="00995AAB">
              <w:rPr>
                <w:rFonts w:ascii="Calibri" w:hAnsi="Calibri"/>
                <w:color w:val="FF0000"/>
                <w:sz w:val="16"/>
                <w:szCs w:val="16"/>
                <w:lang w:val="en-GB"/>
              </w:rPr>
              <w:t>3g)</w:t>
            </w:r>
          </w:p>
        </w:tc>
        <w:tc>
          <w:tcPr>
            <w:tcW w:w="980" w:type="dxa"/>
            <w:tcBorders>
              <w:top w:val="nil"/>
              <w:left w:val="nil"/>
              <w:bottom w:val="single" w:sz="4" w:space="0" w:color="auto"/>
              <w:right w:val="single" w:sz="4" w:space="0" w:color="auto"/>
            </w:tcBorders>
            <w:shd w:val="clear" w:color="auto" w:fill="auto"/>
            <w:noWrap/>
            <w:vAlign w:val="center"/>
            <w:hideMark/>
          </w:tcPr>
          <w:p w14:paraId="22479676" w14:textId="77777777" w:rsidR="00F37117" w:rsidRPr="00995AAB" w:rsidRDefault="00F37117" w:rsidP="007B4890">
            <w:pPr>
              <w:rPr>
                <w:rFonts w:ascii="Calibri" w:hAnsi="Calibri"/>
                <w:color w:val="FF0000"/>
                <w:sz w:val="16"/>
                <w:szCs w:val="16"/>
                <w:lang w:val="en-GB"/>
              </w:rPr>
            </w:pPr>
            <w:r w:rsidRPr="00995AAB">
              <w:rPr>
                <w:rFonts w:ascii="Calibri" w:hAnsi="Calibri"/>
                <w:color w:val="FF0000"/>
                <w:sz w:val="16"/>
                <w:szCs w:val="16"/>
                <w:lang w:val="en-GB"/>
              </w:rPr>
              <w:t>3h)</w:t>
            </w:r>
          </w:p>
        </w:tc>
        <w:tc>
          <w:tcPr>
            <w:tcW w:w="980" w:type="dxa"/>
            <w:tcBorders>
              <w:top w:val="nil"/>
              <w:left w:val="nil"/>
              <w:bottom w:val="single" w:sz="4" w:space="0" w:color="auto"/>
              <w:right w:val="single" w:sz="8" w:space="0" w:color="auto"/>
            </w:tcBorders>
            <w:shd w:val="clear" w:color="auto" w:fill="auto"/>
            <w:noWrap/>
            <w:vAlign w:val="center"/>
            <w:hideMark/>
          </w:tcPr>
          <w:p w14:paraId="2F63FEEA" w14:textId="77777777" w:rsidR="00F37117" w:rsidRPr="00995AAB" w:rsidRDefault="00F37117" w:rsidP="007B4890">
            <w:pPr>
              <w:rPr>
                <w:rFonts w:ascii="Calibri" w:hAnsi="Calibri"/>
                <w:color w:val="FF0000"/>
                <w:sz w:val="16"/>
                <w:szCs w:val="16"/>
                <w:lang w:val="en-GB"/>
              </w:rPr>
            </w:pPr>
            <w:r w:rsidRPr="00995AAB">
              <w:rPr>
                <w:rFonts w:ascii="Calibri" w:hAnsi="Calibri"/>
                <w:color w:val="FF0000"/>
                <w:sz w:val="16"/>
                <w:szCs w:val="16"/>
                <w:lang w:val="en-GB"/>
              </w:rPr>
              <w:t>N/A</w:t>
            </w:r>
          </w:p>
        </w:tc>
      </w:tr>
      <w:tr w:rsidR="00F37117" w:rsidRPr="00080375" w14:paraId="1BC816E4" w14:textId="77777777" w:rsidTr="007B4890">
        <w:trPr>
          <w:trHeight w:val="320"/>
        </w:trPr>
        <w:tc>
          <w:tcPr>
            <w:tcW w:w="911" w:type="dxa"/>
            <w:tcBorders>
              <w:top w:val="nil"/>
              <w:left w:val="single" w:sz="8" w:space="0" w:color="auto"/>
              <w:bottom w:val="single" w:sz="4" w:space="0" w:color="auto"/>
              <w:right w:val="nil"/>
            </w:tcBorders>
            <w:shd w:val="clear" w:color="000000" w:fill="D9D9D9"/>
            <w:hideMark/>
          </w:tcPr>
          <w:p w14:paraId="21C16D5C"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c>
          <w:tcPr>
            <w:tcW w:w="669" w:type="dxa"/>
            <w:tcBorders>
              <w:top w:val="nil"/>
              <w:left w:val="nil"/>
              <w:bottom w:val="single" w:sz="4" w:space="0" w:color="auto"/>
              <w:right w:val="nil"/>
            </w:tcBorders>
            <w:shd w:val="clear" w:color="000000" w:fill="D9D9D9"/>
            <w:hideMark/>
          </w:tcPr>
          <w:p w14:paraId="148D300D" w14:textId="77777777" w:rsidR="00F37117" w:rsidRPr="00995AAB" w:rsidRDefault="00F37117" w:rsidP="007B4890">
            <w:pPr>
              <w:jc w:val="center"/>
              <w:rPr>
                <w:rFonts w:ascii="Calibri" w:hAnsi="Calibri"/>
                <w:color w:val="FF0000"/>
                <w:sz w:val="16"/>
                <w:szCs w:val="16"/>
                <w:lang w:val="en-GB"/>
              </w:rPr>
            </w:pPr>
            <w:r w:rsidRPr="00995AAB">
              <w:rPr>
                <w:rFonts w:ascii="Calibri" w:hAnsi="Calibri"/>
                <w:color w:val="FF0000"/>
                <w:sz w:val="16"/>
                <w:szCs w:val="16"/>
                <w:lang w:val="en-GB"/>
              </w:rPr>
              <w:t>2</w:t>
            </w:r>
          </w:p>
        </w:tc>
        <w:tc>
          <w:tcPr>
            <w:tcW w:w="1192" w:type="dxa"/>
            <w:tcBorders>
              <w:top w:val="nil"/>
              <w:left w:val="single" w:sz="4" w:space="0" w:color="auto"/>
              <w:bottom w:val="single" w:sz="4" w:space="0" w:color="auto"/>
              <w:right w:val="single" w:sz="4" w:space="0" w:color="auto"/>
            </w:tcBorders>
            <w:shd w:val="clear" w:color="auto" w:fill="auto"/>
            <w:hideMark/>
          </w:tcPr>
          <w:p w14:paraId="07791D18" w14:textId="77777777" w:rsidR="00F37117" w:rsidRPr="00995AAB" w:rsidRDefault="00F37117" w:rsidP="007B4890">
            <w:pPr>
              <w:rPr>
                <w:rFonts w:ascii="Calibri" w:hAnsi="Calibri"/>
                <w:color w:val="FF0000"/>
                <w:sz w:val="16"/>
                <w:szCs w:val="16"/>
                <w:lang w:val="en-GB"/>
              </w:rPr>
            </w:pPr>
          </w:p>
        </w:tc>
        <w:tc>
          <w:tcPr>
            <w:tcW w:w="1191" w:type="dxa"/>
            <w:tcBorders>
              <w:top w:val="nil"/>
              <w:left w:val="nil"/>
              <w:bottom w:val="single" w:sz="4" w:space="0" w:color="auto"/>
              <w:right w:val="single" w:sz="4" w:space="0" w:color="auto"/>
            </w:tcBorders>
            <w:shd w:val="clear" w:color="auto" w:fill="auto"/>
            <w:hideMark/>
          </w:tcPr>
          <w:p w14:paraId="4C5DE84D" w14:textId="77777777" w:rsidR="00F37117" w:rsidRPr="00995AAB" w:rsidRDefault="00F37117" w:rsidP="007B4890">
            <w:pPr>
              <w:rPr>
                <w:rFonts w:ascii="Calibri" w:hAnsi="Calibri"/>
                <w:color w:val="FF0000"/>
                <w:sz w:val="16"/>
                <w:szCs w:val="16"/>
                <w:lang w:val="en-GB"/>
              </w:rPr>
            </w:pPr>
          </w:p>
        </w:tc>
        <w:tc>
          <w:tcPr>
            <w:tcW w:w="925" w:type="dxa"/>
            <w:tcBorders>
              <w:top w:val="nil"/>
              <w:left w:val="nil"/>
              <w:bottom w:val="single" w:sz="4" w:space="0" w:color="auto"/>
              <w:right w:val="single" w:sz="4" w:space="0" w:color="auto"/>
            </w:tcBorders>
            <w:shd w:val="clear" w:color="auto" w:fill="auto"/>
            <w:hideMark/>
          </w:tcPr>
          <w:p w14:paraId="49A5AFDC" w14:textId="77777777" w:rsidR="00F37117" w:rsidRPr="00995AAB" w:rsidRDefault="00F37117" w:rsidP="007B4890">
            <w:pPr>
              <w:rPr>
                <w:rFonts w:ascii="Calibri" w:hAnsi="Calibri"/>
                <w:color w:val="FF0000"/>
                <w:sz w:val="16"/>
                <w:szCs w:val="16"/>
                <w:lang w:val="en-GB"/>
              </w:rPr>
            </w:pPr>
            <w:r w:rsidRPr="00995AAB">
              <w:rPr>
                <w:rFonts w:ascii="Calibri" w:hAnsi="Calibri"/>
                <w:color w:val="FF0000"/>
                <w:sz w:val="16"/>
                <w:szCs w:val="16"/>
                <w:lang w:val="en-GB"/>
              </w:rPr>
              <w:t> </w:t>
            </w:r>
          </w:p>
        </w:tc>
        <w:tc>
          <w:tcPr>
            <w:tcW w:w="980" w:type="dxa"/>
            <w:tcBorders>
              <w:top w:val="nil"/>
              <w:left w:val="nil"/>
              <w:bottom w:val="single" w:sz="4" w:space="0" w:color="auto"/>
              <w:right w:val="single" w:sz="4" w:space="0" w:color="auto"/>
            </w:tcBorders>
            <w:shd w:val="clear" w:color="auto" w:fill="auto"/>
            <w:noWrap/>
            <w:vAlign w:val="bottom"/>
          </w:tcPr>
          <w:p w14:paraId="7458553F" w14:textId="77777777" w:rsidR="00F37117" w:rsidRPr="00995AAB" w:rsidRDefault="00F37117" w:rsidP="007B4890">
            <w:pPr>
              <w:rPr>
                <w:rFonts w:ascii="Calibri" w:hAnsi="Calibri"/>
                <w:color w:val="FF0000"/>
                <w:sz w:val="16"/>
                <w:szCs w:val="16"/>
                <w:lang w:val="en-GB"/>
              </w:rPr>
            </w:pPr>
          </w:p>
        </w:tc>
        <w:tc>
          <w:tcPr>
            <w:tcW w:w="1072" w:type="dxa"/>
            <w:tcBorders>
              <w:top w:val="nil"/>
              <w:left w:val="nil"/>
              <w:bottom w:val="single" w:sz="4" w:space="0" w:color="auto"/>
              <w:right w:val="single" w:sz="4" w:space="0" w:color="auto"/>
            </w:tcBorders>
            <w:shd w:val="clear" w:color="auto" w:fill="auto"/>
            <w:noWrap/>
            <w:vAlign w:val="bottom"/>
          </w:tcPr>
          <w:p w14:paraId="7BCB5947" w14:textId="77777777" w:rsidR="00F37117" w:rsidRPr="00995AAB" w:rsidRDefault="00F37117" w:rsidP="007B4890">
            <w:pPr>
              <w:rPr>
                <w:rFonts w:ascii="Calibri" w:hAnsi="Calibri"/>
                <w:color w:val="FF0000"/>
                <w:sz w:val="16"/>
                <w:szCs w:val="16"/>
                <w:lang w:val="en-GB"/>
              </w:rPr>
            </w:pPr>
          </w:p>
        </w:tc>
        <w:tc>
          <w:tcPr>
            <w:tcW w:w="980" w:type="dxa"/>
            <w:tcBorders>
              <w:top w:val="nil"/>
              <w:left w:val="nil"/>
              <w:bottom w:val="single" w:sz="4" w:space="0" w:color="auto"/>
              <w:right w:val="single" w:sz="4" w:space="0" w:color="auto"/>
            </w:tcBorders>
            <w:shd w:val="clear" w:color="auto" w:fill="auto"/>
            <w:noWrap/>
            <w:vAlign w:val="bottom"/>
          </w:tcPr>
          <w:p w14:paraId="432D01B0" w14:textId="77777777" w:rsidR="00F37117" w:rsidRPr="00995AAB" w:rsidRDefault="00F37117" w:rsidP="007B4890">
            <w:pPr>
              <w:rPr>
                <w:rFonts w:ascii="Calibri" w:hAnsi="Calibri"/>
                <w:color w:val="FF0000"/>
                <w:sz w:val="16"/>
                <w:szCs w:val="16"/>
                <w:lang w:val="en-GB"/>
              </w:rPr>
            </w:pPr>
          </w:p>
        </w:tc>
        <w:tc>
          <w:tcPr>
            <w:tcW w:w="980" w:type="dxa"/>
            <w:tcBorders>
              <w:top w:val="nil"/>
              <w:left w:val="nil"/>
              <w:bottom w:val="single" w:sz="4" w:space="0" w:color="auto"/>
              <w:right w:val="single" w:sz="4" w:space="0" w:color="auto"/>
            </w:tcBorders>
            <w:shd w:val="clear" w:color="auto" w:fill="auto"/>
            <w:noWrap/>
            <w:vAlign w:val="bottom"/>
          </w:tcPr>
          <w:p w14:paraId="30A69162" w14:textId="77777777" w:rsidR="00F37117" w:rsidRPr="00995AAB" w:rsidRDefault="00F37117" w:rsidP="007B4890">
            <w:pPr>
              <w:rPr>
                <w:rFonts w:ascii="Calibri" w:hAnsi="Calibri"/>
                <w:color w:val="FF0000"/>
                <w:sz w:val="16"/>
                <w:szCs w:val="16"/>
                <w:lang w:val="en-GB"/>
              </w:rPr>
            </w:pPr>
          </w:p>
        </w:tc>
        <w:tc>
          <w:tcPr>
            <w:tcW w:w="980" w:type="dxa"/>
            <w:tcBorders>
              <w:top w:val="nil"/>
              <w:left w:val="nil"/>
              <w:bottom w:val="single" w:sz="4" w:space="0" w:color="auto"/>
              <w:right w:val="single" w:sz="4" w:space="0" w:color="auto"/>
            </w:tcBorders>
            <w:shd w:val="clear" w:color="auto" w:fill="auto"/>
            <w:noWrap/>
            <w:vAlign w:val="bottom"/>
          </w:tcPr>
          <w:p w14:paraId="01242B48" w14:textId="77777777" w:rsidR="00F37117" w:rsidRPr="00995AAB" w:rsidRDefault="00F37117" w:rsidP="007B4890">
            <w:pPr>
              <w:rPr>
                <w:rFonts w:ascii="Calibri" w:hAnsi="Calibri"/>
                <w:color w:val="FF0000"/>
                <w:sz w:val="16"/>
                <w:szCs w:val="16"/>
                <w:lang w:val="en-GB"/>
              </w:rPr>
            </w:pPr>
          </w:p>
        </w:tc>
        <w:tc>
          <w:tcPr>
            <w:tcW w:w="980" w:type="dxa"/>
            <w:tcBorders>
              <w:top w:val="nil"/>
              <w:left w:val="nil"/>
              <w:bottom w:val="single" w:sz="4" w:space="0" w:color="auto"/>
              <w:right w:val="single" w:sz="8" w:space="0" w:color="auto"/>
            </w:tcBorders>
            <w:shd w:val="clear" w:color="auto" w:fill="auto"/>
            <w:noWrap/>
            <w:vAlign w:val="bottom"/>
          </w:tcPr>
          <w:p w14:paraId="639D11FE" w14:textId="77777777" w:rsidR="00F37117" w:rsidRPr="00995AAB" w:rsidRDefault="00F37117" w:rsidP="007B4890">
            <w:pPr>
              <w:rPr>
                <w:rFonts w:ascii="Calibri" w:hAnsi="Calibri"/>
                <w:color w:val="FF0000"/>
                <w:sz w:val="16"/>
                <w:szCs w:val="16"/>
                <w:lang w:val="en-GB"/>
              </w:rPr>
            </w:pPr>
          </w:p>
        </w:tc>
      </w:tr>
      <w:tr w:rsidR="00F37117" w:rsidRPr="00080375" w14:paraId="34238CD1" w14:textId="77777777" w:rsidTr="007B4890">
        <w:trPr>
          <w:trHeight w:val="320"/>
        </w:trPr>
        <w:tc>
          <w:tcPr>
            <w:tcW w:w="911" w:type="dxa"/>
            <w:tcBorders>
              <w:top w:val="nil"/>
              <w:left w:val="single" w:sz="8" w:space="0" w:color="auto"/>
              <w:bottom w:val="single" w:sz="4" w:space="0" w:color="auto"/>
              <w:right w:val="nil"/>
            </w:tcBorders>
            <w:shd w:val="clear" w:color="000000" w:fill="D9D9D9"/>
            <w:hideMark/>
          </w:tcPr>
          <w:p w14:paraId="6622F10F"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c>
          <w:tcPr>
            <w:tcW w:w="669" w:type="dxa"/>
            <w:tcBorders>
              <w:top w:val="nil"/>
              <w:left w:val="nil"/>
              <w:bottom w:val="single" w:sz="4" w:space="0" w:color="auto"/>
              <w:right w:val="nil"/>
            </w:tcBorders>
            <w:shd w:val="clear" w:color="000000" w:fill="D9D9D9"/>
            <w:hideMark/>
          </w:tcPr>
          <w:p w14:paraId="6586AA2F" w14:textId="77777777" w:rsidR="00F37117" w:rsidRPr="00995AAB" w:rsidRDefault="00F37117" w:rsidP="007B4890">
            <w:pPr>
              <w:jc w:val="center"/>
              <w:rPr>
                <w:rFonts w:ascii="Calibri" w:hAnsi="Calibri"/>
                <w:color w:val="FF0000"/>
                <w:sz w:val="16"/>
                <w:szCs w:val="16"/>
                <w:lang w:val="en-GB"/>
              </w:rPr>
            </w:pPr>
            <w:r w:rsidRPr="00995AAB">
              <w:rPr>
                <w:rFonts w:ascii="Calibri" w:hAnsi="Calibri"/>
                <w:color w:val="FF0000"/>
                <w:sz w:val="16"/>
                <w:szCs w:val="16"/>
                <w:lang w:val="en-GB"/>
              </w:rPr>
              <w:t>3</w:t>
            </w:r>
          </w:p>
        </w:tc>
        <w:tc>
          <w:tcPr>
            <w:tcW w:w="1192" w:type="dxa"/>
            <w:tcBorders>
              <w:top w:val="nil"/>
              <w:left w:val="single" w:sz="4" w:space="0" w:color="auto"/>
              <w:bottom w:val="single" w:sz="4" w:space="0" w:color="auto"/>
              <w:right w:val="single" w:sz="4" w:space="0" w:color="auto"/>
            </w:tcBorders>
            <w:shd w:val="clear" w:color="auto" w:fill="auto"/>
            <w:hideMark/>
          </w:tcPr>
          <w:p w14:paraId="7A3BAFD4" w14:textId="77777777" w:rsidR="00F37117" w:rsidRPr="00995AAB" w:rsidRDefault="00F37117" w:rsidP="007B4890">
            <w:pPr>
              <w:rPr>
                <w:rFonts w:ascii="Calibri" w:hAnsi="Calibri"/>
                <w:color w:val="FF0000"/>
                <w:sz w:val="16"/>
                <w:szCs w:val="16"/>
                <w:lang w:val="en-GB"/>
              </w:rPr>
            </w:pPr>
          </w:p>
        </w:tc>
        <w:tc>
          <w:tcPr>
            <w:tcW w:w="1191" w:type="dxa"/>
            <w:tcBorders>
              <w:top w:val="nil"/>
              <w:left w:val="nil"/>
              <w:bottom w:val="single" w:sz="4" w:space="0" w:color="auto"/>
              <w:right w:val="single" w:sz="4" w:space="0" w:color="auto"/>
            </w:tcBorders>
            <w:shd w:val="clear" w:color="auto" w:fill="auto"/>
            <w:hideMark/>
          </w:tcPr>
          <w:p w14:paraId="5ED5414A" w14:textId="77777777" w:rsidR="00F37117" w:rsidRPr="00995AAB" w:rsidRDefault="00F37117" w:rsidP="007B4890">
            <w:pPr>
              <w:rPr>
                <w:rFonts w:ascii="Calibri" w:hAnsi="Calibri"/>
                <w:color w:val="FF0000"/>
                <w:sz w:val="16"/>
                <w:szCs w:val="16"/>
                <w:lang w:val="en-GB"/>
              </w:rPr>
            </w:pPr>
          </w:p>
        </w:tc>
        <w:tc>
          <w:tcPr>
            <w:tcW w:w="925" w:type="dxa"/>
            <w:tcBorders>
              <w:top w:val="nil"/>
              <w:left w:val="nil"/>
              <w:bottom w:val="single" w:sz="4" w:space="0" w:color="auto"/>
              <w:right w:val="single" w:sz="4" w:space="0" w:color="auto"/>
            </w:tcBorders>
            <w:shd w:val="clear" w:color="auto" w:fill="auto"/>
            <w:hideMark/>
          </w:tcPr>
          <w:p w14:paraId="363695AA" w14:textId="77777777" w:rsidR="00F37117" w:rsidRPr="00995AAB" w:rsidRDefault="00F37117" w:rsidP="007B4890">
            <w:pPr>
              <w:rPr>
                <w:rFonts w:ascii="Calibri" w:hAnsi="Calibri"/>
                <w:color w:val="FF0000"/>
                <w:sz w:val="16"/>
                <w:szCs w:val="16"/>
                <w:lang w:val="en-GB"/>
              </w:rPr>
            </w:pPr>
            <w:r w:rsidRPr="00995AAB">
              <w:rPr>
                <w:rFonts w:ascii="Calibri" w:hAnsi="Calibri"/>
                <w:color w:val="FF0000"/>
                <w:sz w:val="16"/>
                <w:szCs w:val="16"/>
                <w:lang w:val="en-GB"/>
              </w:rPr>
              <w:t> </w:t>
            </w:r>
          </w:p>
        </w:tc>
        <w:tc>
          <w:tcPr>
            <w:tcW w:w="980" w:type="dxa"/>
            <w:tcBorders>
              <w:top w:val="nil"/>
              <w:left w:val="nil"/>
              <w:bottom w:val="single" w:sz="4" w:space="0" w:color="auto"/>
              <w:right w:val="single" w:sz="4" w:space="0" w:color="auto"/>
            </w:tcBorders>
            <w:shd w:val="clear" w:color="auto" w:fill="auto"/>
            <w:noWrap/>
            <w:vAlign w:val="bottom"/>
          </w:tcPr>
          <w:p w14:paraId="6718762B" w14:textId="77777777" w:rsidR="00F37117" w:rsidRPr="00995AAB" w:rsidRDefault="00F37117" w:rsidP="007B4890">
            <w:pPr>
              <w:rPr>
                <w:rFonts w:ascii="Calibri" w:hAnsi="Calibri"/>
                <w:color w:val="FF0000"/>
                <w:sz w:val="16"/>
                <w:szCs w:val="16"/>
                <w:lang w:val="en-GB"/>
              </w:rPr>
            </w:pPr>
          </w:p>
        </w:tc>
        <w:tc>
          <w:tcPr>
            <w:tcW w:w="1072" w:type="dxa"/>
            <w:tcBorders>
              <w:top w:val="nil"/>
              <w:left w:val="nil"/>
              <w:bottom w:val="single" w:sz="4" w:space="0" w:color="auto"/>
              <w:right w:val="single" w:sz="4" w:space="0" w:color="auto"/>
            </w:tcBorders>
            <w:shd w:val="clear" w:color="auto" w:fill="auto"/>
            <w:noWrap/>
            <w:vAlign w:val="bottom"/>
          </w:tcPr>
          <w:p w14:paraId="307A408A" w14:textId="77777777" w:rsidR="00F37117" w:rsidRPr="00995AAB" w:rsidRDefault="00F37117" w:rsidP="007B4890">
            <w:pPr>
              <w:rPr>
                <w:rFonts w:ascii="Calibri" w:hAnsi="Calibri"/>
                <w:color w:val="FF0000"/>
                <w:sz w:val="16"/>
                <w:szCs w:val="16"/>
                <w:lang w:val="en-GB"/>
              </w:rPr>
            </w:pPr>
          </w:p>
        </w:tc>
        <w:tc>
          <w:tcPr>
            <w:tcW w:w="980" w:type="dxa"/>
            <w:tcBorders>
              <w:top w:val="nil"/>
              <w:left w:val="nil"/>
              <w:bottom w:val="single" w:sz="4" w:space="0" w:color="auto"/>
              <w:right w:val="single" w:sz="4" w:space="0" w:color="auto"/>
            </w:tcBorders>
            <w:shd w:val="clear" w:color="auto" w:fill="auto"/>
            <w:noWrap/>
            <w:vAlign w:val="bottom"/>
          </w:tcPr>
          <w:p w14:paraId="5D0ABDB5" w14:textId="77777777" w:rsidR="00F37117" w:rsidRPr="00995AAB" w:rsidRDefault="00F37117" w:rsidP="007B4890">
            <w:pPr>
              <w:rPr>
                <w:rFonts w:ascii="Calibri" w:hAnsi="Calibri"/>
                <w:color w:val="FF0000"/>
                <w:sz w:val="16"/>
                <w:szCs w:val="16"/>
                <w:lang w:val="en-GB"/>
              </w:rPr>
            </w:pPr>
          </w:p>
        </w:tc>
        <w:tc>
          <w:tcPr>
            <w:tcW w:w="980" w:type="dxa"/>
            <w:tcBorders>
              <w:top w:val="nil"/>
              <w:left w:val="nil"/>
              <w:bottom w:val="single" w:sz="4" w:space="0" w:color="auto"/>
              <w:right w:val="single" w:sz="4" w:space="0" w:color="auto"/>
            </w:tcBorders>
            <w:shd w:val="clear" w:color="auto" w:fill="auto"/>
            <w:noWrap/>
            <w:vAlign w:val="bottom"/>
          </w:tcPr>
          <w:p w14:paraId="001C9EDA" w14:textId="77777777" w:rsidR="00F37117" w:rsidRPr="00995AAB" w:rsidRDefault="00F37117" w:rsidP="007B4890">
            <w:pPr>
              <w:rPr>
                <w:rFonts w:ascii="Calibri" w:hAnsi="Calibri"/>
                <w:color w:val="FF0000"/>
                <w:sz w:val="16"/>
                <w:szCs w:val="16"/>
                <w:lang w:val="en-GB"/>
              </w:rPr>
            </w:pPr>
          </w:p>
        </w:tc>
        <w:tc>
          <w:tcPr>
            <w:tcW w:w="980" w:type="dxa"/>
            <w:tcBorders>
              <w:top w:val="nil"/>
              <w:left w:val="nil"/>
              <w:bottom w:val="single" w:sz="4" w:space="0" w:color="auto"/>
              <w:right w:val="single" w:sz="4" w:space="0" w:color="auto"/>
            </w:tcBorders>
            <w:shd w:val="clear" w:color="auto" w:fill="auto"/>
            <w:noWrap/>
            <w:vAlign w:val="bottom"/>
          </w:tcPr>
          <w:p w14:paraId="6506B95B" w14:textId="77777777" w:rsidR="00F37117" w:rsidRPr="00995AAB" w:rsidRDefault="00F37117" w:rsidP="007B4890">
            <w:pPr>
              <w:rPr>
                <w:rFonts w:ascii="Calibri" w:hAnsi="Calibri"/>
                <w:color w:val="FF0000"/>
                <w:sz w:val="16"/>
                <w:szCs w:val="16"/>
                <w:lang w:val="en-GB"/>
              </w:rPr>
            </w:pPr>
          </w:p>
        </w:tc>
        <w:tc>
          <w:tcPr>
            <w:tcW w:w="980" w:type="dxa"/>
            <w:tcBorders>
              <w:top w:val="nil"/>
              <w:left w:val="nil"/>
              <w:bottom w:val="single" w:sz="4" w:space="0" w:color="auto"/>
              <w:right w:val="single" w:sz="8" w:space="0" w:color="auto"/>
            </w:tcBorders>
            <w:shd w:val="clear" w:color="auto" w:fill="auto"/>
            <w:noWrap/>
            <w:vAlign w:val="bottom"/>
          </w:tcPr>
          <w:p w14:paraId="4E01BFAF" w14:textId="77777777" w:rsidR="00F37117" w:rsidRPr="00995AAB" w:rsidRDefault="00F37117" w:rsidP="007B4890">
            <w:pPr>
              <w:rPr>
                <w:rFonts w:ascii="Calibri" w:hAnsi="Calibri"/>
                <w:color w:val="FF0000"/>
                <w:sz w:val="16"/>
                <w:szCs w:val="16"/>
                <w:lang w:val="en-GB"/>
              </w:rPr>
            </w:pPr>
          </w:p>
        </w:tc>
      </w:tr>
      <w:tr w:rsidR="00F37117" w:rsidRPr="00080375" w14:paraId="4B56FA63" w14:textId="77777777" w:rsidTr="007B4890">
        <w:trPr>
          <w:trHeight w:val="320"/>
        </w:trPr>
        <w:tc>
          <w:tcPr>
            <w:tcW w:w="911" w:type="dxa"/>
            <w:tcBorders>
              <w:top w:val="nil"/>
              <w:left w:val="single" w:sz="8" w:space="0" w:color="auto"/>
              <w:bottom w:val="single" w:sz="4" w:space="0" w:color="auto"/>
              <w:right w:val="nil"/>
            </w:tcBorders>
            <w:shd w:val="clear" w:color="000000" w:fill="D9D9D9"/>
            <w:hideMark/>
          </w:tcPr>
          <w:p w14:paraId="52DE0B83"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11.30.00</w:t>
            </w:r>
          </w:p>
        </w:tc>
        <w:tc>
          <w:tcPr>
            <w:tcW w:w="669" w:type="dxa"/>
            <w:tcBorders>
              <w:top w:val="nil"/>
              <w:left w:val="nil"/>
              <w:bottom w:val="single" w:sz="4" w:space="0" w:color="auto"/>
              <w:right w:val="nil"/>
            </w:tcBorders>
            <w:shd w:val="clear" w:color="000000" w:fill="D9D9D9"/>
            <w:hideMark/>
          </w:tcPr>
          <w:p w14:paraId="2B6C7569" w14:textId="77777777" w:rsidR="00F37117" w:rsidRPr="00995AAB" w:rsidRDefault="00F37117" w:rsidP="007B4890">
            <w:pPr>
              <w:jc w:val="center"/>
              <w:rPr>
                <w:rFonts w:ascii="Calibri" w:hAnsi="Calibri"/>
                <w:color w:val="FF0000"/>
                <w:sz w:val="16"/>
                <w:szCs w:val="16"/>
                <w:lang w:val="en-GB"/>
              </w:rPr>
            </w:pPr>
            <w:r w:rsidRPr="00995AAB">
              <w:rPr>
                <w:rFonts w:ascii="Calibri" w:hAnsi="Calibri"/>
                <w:color w:val="FF0000"/>
                <w:sz w:val="16"/>
                <w:szCs w:val="16"/>
                <w:lang w:val="en-GB"/>
              </w:rPr>
              <w:t>1</w:t>
            </w:r>
          </w:p>
        </w:tc>
        <w:tc>
          <w:tcPr>
            <w:tcW w:w="1192" w:type="dxa"/>
            <w:tcBorders>
              <w:top w:val="nil"/>
              <w:left w:val="single" w:sz="4" w:space="0" w:color="auto"/>
              <w:bottom w:val="single" w:sz="4" w:space="0" w:color="auto"/>
              <w:right w:val="single" w:sz="4" w:space="0" w:color="auto"/>
            </w:tcBorders>
            <w:shd w:val="clear" w:color="auto" w:fill="auto"/>
            <w:hideMark/>
          </w:tcPr>
          <w:p w14:paraId="7AE1084B"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c>
          <w:tcPr>
            <w:tcW w:w="1191" w:type="dxa"/>
            <w:tcBorders>
              <w:top w:val="nil"/>
              <w:left w:val="nil"/>
              <w:bottom w:val="single" w:sz="4" w:space="0" w:color="auto"/>
              <w:right w:val="single" w:sz="4" w:space="0" w:color="auto"/>
            </w:tcBorders>
            <w:shd w:val="clear" w:color="auto" w:fill="auto"/>
            <w:hideMark/>
          </w:tcPr>
          <w:p w14:paraId="26082C92"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c>
          <w:tcPr>
            <w:tcW w:w="925" w:type="dxa"/>
            <w:tcBorders>
              <w:top w:val="nil"/>
              <w:left w:val="nil"/>
              <w:bottom w:val="single" w:sz="4" w:space="0" w:color="auto"/>
              <w:right w:val="single" w:sz="4" w:space="0" w:color="auto"/>
            </w:tcBorders>
            <w:shd w:val="clear" w:color="auto" w:fill="auto"/>
            <w:hideMark/>
          </w:tcPr>
          <w:p w14:paraId="22A29251"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c>
          <w:tcPr>
            <w:tcW w:w="980" w:type="dxa"/>
            <w:tcBorders>
              <w:top w:val="nil"/>
              <w:left w:val="nil"/>
              <w:bottom w:val="single" w:sz="4" w:space="0" w:color="auto"/>
              <w:right w:val="single" w:sz="4" w:space="0" w:color="auto"/>
            </w:tcBorders>
            <w:shd w:val="clear" w:color="auto" w:fill="auto"/>
            <w:noWrap/>
            <w:vAlign w:val="bottom"/>
            <w:hideMark/>
          </w:tcPr>
          <w:p w14:paraId="51D3E685"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c>
          <w:tcPr>
            <w:tcW w:w="1072" w:type="dxa"/>
            <w:tcBorders>
              <w:top w:val="nil"/>
              <w:left w:val="nil"/>
              <w:bottom w:val="single" w:sz="4" w:space="0" w:color="auto"/>
              <w:right w:val="single" w:sz="4" w:space="0" w:color="auto"/>
            </w:tcBorders>
            <w:shd w:val="clear" w:color="auto" w:fill="auto"/>
            <w:noWrap/>
            <w:vAlign w:val="bottom"/>
            <w:hideMark/>
          </w:tcPr>
          <w:p w14:paraId="493F65E4"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c>
          <w:tcPr>
            <w:tcW w:w="980" w:type="dxa"/>
            <w:tcBorders>
              <w:top w:val="nil"/>
              <w:left w:val="nil"/>
              <w:bottom w:val="single" w:sz="4" w:space="0" w:color="auto"/>
              <w:right w:val="single" w:sz="4" w:space="0" w:color="auto"/>
            </w:tcBorders>
            <w:shd w:val="clear" w:color="auto" w:fill="auto"/>
            <w:noWrap/>
            <w:vAlign w:val="bottom"/>
            <w:hideMark/>
          </w:tcPr>
          <w:p w14:paraId="2034B30C"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c>
          <w:tcPr>
            <w:tcW w:w="980" w:type="dxa"/>
            <w:tcBorders>
              <w:top w:val="nil"/>
              <w:left w:val="nil"/>
              <w:bottom w:val="single" w:sz="4" w:space="0" w:color="auto"/>
              <w:right w:val="single" w:sz="4" w:space="0" w:color="auto"/>
            </w:tcBorders>
            <w:shd w:val="clear" w:color="auto" w:fill="auto"/>
            <w:noWrap/>
            <w:vAlign w:val="bottom"/>
            <w:hideMark/>
          </w:tcPr>
          <w:p w14:paraId="20C59752"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c>
          <w:tcPr>
            <w:tcW w:w="980" w:type="dxa"/>
            <w:tcBorders>
              <w:top w:val="nil"/>
              <w:left w:val="nil"/>
              <w:bottom w:val="single" w:sz="4" w:space="0" w:color="auto"/>
              <w:right w:val="single" w:sz="4" w:space="0" w:color="auto"/>
            </w:tcBorders>
            <w:shd w:val="clear" w:color="auto" w:fill="auto"/>
            <w:noWrap/>
            <w:vAlign w:val="bottom"/>
            <w:hideMark/>
          </w:tcPr>
          <w:p w14:paraId="574AF4F6"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c>
          <w:tcPr>
            <w:tcW w:w="980" w:type="dxa"/>
            <w:tcBorders>
              <w:top w:val="nil"/>
              <w:left w:val="nil"/>
              <w:bottom w:val="single" w:sz="4" w:space="0" w:color="auto"/>
              <w:right w:val="single" w:sz="8" w:space="0" w:color="auto"/>
            </w:tcBorders>
            <w:shd w:val="clear" w:color="auto" w:fill="auto"/>
            <w:noWrap/>
            <w:vAlign w:val="bottom"/>
            <w:hideMark/>
          </w:tcPr>
          <w:p w14:paraId="71A468D7"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r>
      <w:tr w:rsidR="00F37117" w:rsidRPr="00080375" w14:paraId="31014FE6" w14:textId="77777777" w:rsidTr="007B4890">
        <w:trPr>
          <w:trHeight w:val="320"/>
        </w:trPr>
        <w:tc>
          <w:tcPr>
            <w:tcW w:w="911" w:type="dxa"/>
            <w:tcBorders>
              <w:top w:val="nil"/>
              <w:left w:val="single" w:sz="8" w:space="0" w:color="auto"/>
              <w:bottom w:val="single" w:sz="4" w:space="0" w:color="auto"/>
              <w:right w:val="nil"/>
            </w:tcBorders>
            <w:shd w:val="clear" w:color="000000" w:fill="D9D9D9"/>
            <w:hideMark/>
          </w:tcPr>
          <w:p w14:paraId="62D09296"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c>
          <w:tcPr>
            <w:tcW w:w="669" w:type="dxa"/>
            <w:tcBorders>
              <w:top w:val="nil"/>
              <w:left w:val="nil"/>
              <w:bottom w:val="single" w:sz="4" w:space="0" w:color="auto"/>
              <w:right w:val="nil"/>
            </w:tcBorders>
            <w:shd w:val="clear" w:color="000000" w:fill="D9D9D9"/>
            <w:hideMark/>
          </w:tcPr>
          <w:p w14:paraId="76947089" w14:textId="77777777" w:rsidR="00F37117" w:rsidRPr="00995AAB" w:rsidRDefault="00F37117" w:rsidP="007B4890">
            <w:pPr>
              <w:jc w:val="center"/>
              <w:rPr>
                <w:rFonts w:ascii="Calibri" w:hAnsi="Calibri"/>
                <w:color w:val="FF0000"/>
                <w:sz w:val="16"/>
                <w:szCs w:val="16"/>
                <w:lang w:val="en-GB"/>
              </w:rPr>
            </w:pPr>
            <w:r w:rsidRPr="00995AAB">
              <w:rPr>
                <w:rFonts w:ascii="Calibri" w:hAnsi="Calibri"/>
                <w:color w:val="FF0000"/>
                <w:sz w:val="16"/>
                <w:szCs w:val="16"/>
                <w:lang w:val="en-GB"/>
              </w:rPr>
              <w:t>2</w:t>
            </w:r>
          </w:p>
        </w:tc>
        <w:tc>
          <w:tcPr>
            <w:tcW w:w="1192" w:type="dxa"/>
            <w:tcBorders>
              <w:top w:val="nil"/>
              <w:left w:val="single" w:sz="4" w:space="0" w:color="auto"/>
              <w:bottom w:val="single" w:sz="4" w:space="0" w:color="auto"/>
              <w:right w:val="single" w:sz="4" w:space="0" w:color="auto"/>
            </w:tcBorders>
            <w:shd w:val="clear" w:color="auto" w:fill="auto"/>
            <w:hideMark/>
          </w:tcPr>
          <w:p w14:paraId="37AE3520"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c>
          <w:tcPr>
            <w:tcW w:w="1191" w:type="dxa"/>
            <w:tcBorders>
              <w:top w:val="nil"/>
              <w:left w:val="nil"/>
              <w:bottom w:val="single" w:sz="4" w:space="0" w:color="auto"/>
              <w:right w:val="single" w:sz="4" w:space="0" w:color="auto"/>
            </w:tcBorders>
            <w:shd w:val="clear" w:color="auto" w:fill="auto"/>
            <w:hideMark/>
          </w:tcPr>
          <w:p w14:paraId="3138E21F"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c>
          <w:tcPr>
            <w:tcW w:w="925" w:type="dxa"/>
            <w:tcBorders>
              <w:top w:val="nil"/>
              <w:left w:val="nil"/>
              <w:bottom w:val="single" w:sz="4" w:space="0" w:color="auto"/>
              <w:right w:val="single" w:sz="4" w:space="0" w:color="auto"/>
            </w:tcBorders>
            <w:shd w:val="clear" w:color="auto" w:fill="auto"/>
            <w:hideMark/>
          </w:tcPr>
          <w:p w14:paraId="6E477C67"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c>
          <w:tcPr>
            <w:tcW w:w="980" w:type="dxa"/>
            <w:tcBorders>
              <w:top w:val="nil"/>
              <w:left w:val="nil"/>
              <w:bottom w:val="single" w:sz="4" w:space="0" w:color="auto"/>
              <w:right w:val="single" w:sz="4" w:space="0" w:color="auto"/>
            </w:tcBorders>
            <w:shd w:val="clear" w:color="auto" w:fill="auto"/>
            <w:noWrap/>
            <w:vAlign w:val="bottom"/>
            <w:hideMark/>
          </w:tcPr>
          <w:p w14:paraId="477C5DA6"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c>
          <w:tcPr>
            <w:tcW w:w="1072" w:type="dxa"/>
            <w:tcBorders>
              <w:top w:val="nil"/>
              <w:left w:val="nil"/>
              <w:bottom w:val="single" w:sz="4" w:space="0" w:color="auto"/>
              <w:right w:val="single" w:sz="4" w:space="0" w:color="auto"/>
            </w:tcBorders>
            <w:shd w:val="clear" w:color="auto" w:fill="auto"/>
            <w:noWrap/>
            <w:vAlign w:val="bottom"/>
            <w:hideMark/>
          </w:tcPr>
          <w:p w14:paraId="0921883E"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c>
          <w:tcPr>
            <w:tcW w:w="980" w:type="dxa"/>
            <w:tcBorders>
              <w:top w:val="nil"/>
              <w:left w:val="nil"/>
              <w:bottom w:val="single" w:sz="4" w:space="0" w:color="auto"/>
              <w:right w:val="single" w:sz="4" w:space="0" w:color="auto"/>
            </w:tcBorders>
            <w:shd w:val="clear" w:color="auto" w:fill="auto"/>
            <w:noWrap/>
            <w:vAlign w:val="bottom"/>
            <w:hideMark/>
          </w:tcPr>
          <w:p w14:paraId="66746B51"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c>
          <w:tcPr>
            <w:tcW w:w="980" w:type="dxa"/>
            <w:tcBorders>
              <w:top w:val="nil"/>
              <w:left w:val="nil"/>
              <w:bottom w:val="single" w:sz="4" w:space="0" w:color="auto"/>
              <w:right w:val="single" w:sz="4" w:space="0" w:color="auto"/>
            </w:tcBorders>
            <w:shd w:val="clear" w:color="auto" w:fill="auto"/>
            <w:noWrap/>
            <w:vAlign w:val="bottom"/>
            <w:hideMark/>
          </w:tcPr>
          <w:p w14:paraId="1B45F67E"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c>
          <w:tcPr>
            <w:tcW w:w="980" w:type="dxa"/>
            <w:tcBorders>
              <w:top w:val="nil"/>
              <w:left w:val="nil"/>
              <w:bottom w:val="single" w:sz="4" w:space="0" w:color="auto"/>
              <w:right w:val="single" w:sz="4" w:space="0" w:color="auto"/>
            </w:tcBorders>
            <w:shd w:val="clear" w:color="auto" w:fill="auto"/>
            <w:noWrap/>
            <w:vAlign w:val="bottom"/>
            <w:hideMark/>
          </w:tcPr>
          <w:p w14:paraId="660E011C"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c>
          <w:tcPr>
            <w:tcW w:w="980" w:type="dxa"/>
            <w:tcBorders>
              <w:top w:val="nil"/>
              <w:left w:val="nil"/>
              <w:bottom w:val="single" w:sz="4" w:space="0" w:color="auto"/>
              <w:right w:val="single" w:sz="8" w:space="0" w:color="auto"/>
            </w:tcBorders>
            <w:shd w:val="clear" w:color="auto" w:fill="auto"/>
            <w:noWrap/>
            <w:vAlign w:val="bottom"/>
            <w:hideMark/>
          </w:tcPr>
          <w:p w14:paraId="424D77FF"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r>
      <w:tr w:rsidR="00F37117" w:rsidRPr="00080375" w14:paraId="25A13A1A" w14:textId="77777777" w:rsidTr="007B4890">
        <w:trPr>
          <w:trHeight w:val="320"/>
        </w:trPr>
        <w:tc>
          <w:tcPr>
            <w:tcW w:w="911" w:type="dxa"/>
            <w:tcBorders>
              <w:top w:val="nil"/>
              <w:left w:val="single" w:sz="8" w:space="0" w:color="auto"/>
              <w:bottom w:val="single" w:sz="4" w:space="0" w:color="auto"/>
              <w:right w:val="nil"/>
            </w:tcBorders>
            <w:shd w:val="clear" w:color="000000" w:fill="D9D9D9"/>
            <w:hideMark/>
          </w:tcPr>
          <w:p w14:paraId="1A62F15D"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c>
          <w:tcPr>
            <w:tcW w:w="669" w:type="dxa"/>
            <w:tcBorders>
              <w:top w:val="nil"/>
              <w:left w:val="nil"/>
              <w:bottom w:val="single" w:sz="4" w:space="0" w:color="auto"/>
              <w:right w:val="nil"/>
            </w:tcBorders>
            <w:shd w:val="clear" w:color="000000" w:fill="D9D9D9"/>
            <w:hideMark/>
          </w:tcPr>
          <w:p w14:paraId="60D24936" w14:textId="77777777" w:rsidR="00F37117" w:rsidRPr="00995AAB" w:rsidRDefault="00F37117" w:rsidP="007B4890">
            <w:pPr>
              <w:jc w:val="center"/>
              <w:rPr>
                <w:rFonts w:ascii="Calibri" w:hAnsi="Calibri"/>
                <w:color w:val="FF0000"/>
                <w:sz w:val="16"/>
                <w:szCs w:val="16"/>
                <w:lang w:val="en-GB"/>
              </w:rPr>
            </w:pPr>
            <w:r w:rsidRPr="00995AAB">
              <w:rPr>
                <w:rFonts w:ascii="Calibri" w:hAnsi="Calibri"/>
                <w:color w:val="FF0000"/>
                <w:sz w:val="16"/>
                <w:szCs w:val="16"/>
                <w:lang w:val="en-GB"/>
              </w:rPr>
              <w:t>3</w:t>
            </w:r>
          </w:p>
        </w:tc>
        <w:tc>
          <w:tcPr>
            <w:tcW w:w="1192" w:type="dxa"/>
            <w:tcBorders>
              <w:top w:val="nil"/>
              <w:left w:val="single" w:sz="4" w:space="0" w:color="auto"/>
              <w:bottom w:val="single" w:sz="4" w:space="0" w:color="auto"/>
              <w:right w:val="single" w:sz="4" w:space="0" w:color="auto"/>
            </w:tcBorders>
            <w:shd w:val="clear" w:color="auto" w:fill="auto"/>
            <w:hideMark/>
          </w:tcPr>
          <w:p w14:paraId="7E4F80F1"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c>
          <w:tcPr>
            <w:tcW w:w="1191" w:type="dxa"/>
            <w:tcBorders>
              <w:top w:val="nil"/>
              <w:left w:val="nil"/>
              <w:bottom w:val="single" w:sz="4" w:space="0" w:color="auto"/>
              <w:right w:val="single" w:sz="4" w:space="0" w:color="auto"/>
            </w:tcBorders>
            <w:shd w:val="clear" w:color="auto" w:fill="auto"/>
            <w:hideMark/>
          </w:tcPr>
          <w:p w14:paraId="4B12A612"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c>
          <w:tcPr>
            <w:tcW w:w="925" w:type="dxa"/>
            <w:tcBorders>
              <w:top w:val="nil"/>
              <w:left w:val="nil"/>
              <w:bottom w:val="single" w:sz="4" w:space="0" w:color="auto"/>
              <w:right w:val="single" w:sz="4" w:space="0" w:color="auto"/>
            </w:tcBorders>
            <w:shd w:val="clear" w:color="auto" w:fill="auto"/>
            <w:hideMark/>
          </w:tcPr>
          <w:p w14:paraId="2579D895"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c>
          <w:tcPr>
            <w:tcW w:w="980" w:type="dxa"/>
            <w:tcBorders>
              <w:top w:val="nil"/>
              <w:left w:val="nil"/>
              <w:bottom w:val="single" w:sz="4" w:space="0" w:color="auto"/>
              <w:right w:val="single" w:sz="4" w:space="0" w:color="auto"/>
            </w:tcBorders>
            <w:shd w:val="clear" w:color="auto" w:fill="auto"/>
            <w:noWrap/>
            <w:vAlign w:val="bottom"/>
            <w:hideMark/>
          </w:tcPr>
          <w:p w14:paraId="4E769003"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c>
          <w:tcPr>
            <w:tcW w:w="1072" w:type="dxa"/>
            <w:tcBorders>
              <w:top w:val="nil"/>
              <w:left w:val="nil"/>
              <w:bottom w:val="single" w:sz="4" w:space="0" w:color="auto"/>
              <w:right w:val="single" w:sz="4" w:space="0" w:color="auto"/>
            </w:tcBorders>
            <w:shd w:val="clear" w:color="auto" w:fill="auto"/>
            <w:noWrap/>
            <w:vAlign w:val="bottom"/>
            <w:hideMark/>
          </w:tcPr>
          <w:p w14:paraId="357FB2A9"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c>
          <w:tcPr>
            <w:tcW w:w="980" w:type="dxa"/>
            <w:tcBorders>
              <w:top w:val="nil"/>
              <w:left w:val="nil"/>
              <w:bottom w:val="single" w:sz="4" w:space="0" w:color="auto"/>
              <w:right w:val="single" w:sz="4" w:space="0" w:color="auto"/>
            </w:tcBorders>
            <w:shd w:val="clear" w:color="auto" w:fill="auto"/>
            <w:noWrap/>
            <w:vAlign w:val="bottom"/>
            <w:hideMark/>
          </w:tcPr>
          <w:p w14:paraId="7EF5C2A0"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c>
          <w:tcPr>
            <w:tcW w:w="980" w:type="dxa"/>
            <w:tcBorders>
              <w:top w:val="nil"/>
              <w:left w:val="nil"/>
              <w:bottom w:val="single" w:sz="4" w:space="0" w:color="auto"/>
              <w:right w:val="single" w:sz="4" w:space="0" w:color="auto"/>
            </w:tcBorders>
            <w:shd w:val="clear" w:color="auto" w:fill="auto"/>
            <w:noWrap/>
            <w:vAlign w:val="bottom"/>
            <w:hideMark/>
          </w:tcPr>
          <w:p w14:paraId="35386E09"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c>
          <w:tcPr>
            <w:tcW w:w="980" w:type="dxa"/>
            <w:tcBorders>
              <w:top w:val="nil"/>
              <w:left w:val="nil"/>
              <w:bottom w:val="single" w:sz="4" w:space="0" w:color="auto"/>
              <w:right w:val="single" w:sz="4" w:space="0" w:color="auto"/>
            </w:tcBorders>
            <w:shd w:val="clear" w:color="auto" w:fill="auto"/>
            <w:noWrap/>
            <w:vAlign w:val="bottom"/>
            <w:hideMark/>
          </w:tcPr>
          <w:p w14:paraId="50E21720"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c>
          <w:tcPr>
            <w:tcW w:w="980" w:type="dxa"/>
            <w:tcBorders>
              <w:top w:val="nil"/>
              <w:left w:val="nil"/>
              <w:bottom w:val="single" w:sz="4" w:space="0" w:color="auto"/>
              <w:right w:val="single" w:sz="8" w:space="0" w:color="auto"/>
            </w:tcBorders>
            <w:shd w:val="clear" w:color="auto" w:fill="auto"/>
            <w:noWrap/>
            <w:vAlign w:val="bottom"/>
            <w:hideMark/>
          </w:tcPr>
          <w:p w14:paraId="0C9E07E3"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r>
      <w:tr w:rsidR="00F37117" w:rsidRPr="00080375" w14:paraId="2799D67D" w14:textId="77777777" w:rsidTr="007B4890">
        <w:trPr>
          <w:trHeight w:val="320"/>
        </w:trPr>
        <w:tc>
          <w:tcPr>
            <w:tcW w:w="911" w:type="dxa"/>
            <w:tcBorders>
              <w:top w:val="nil"/>
              <w:left w:val="single" w:sz="8" w:space="0" w:color="auto"/>
              <w:bottom w:val="single" w:sz="4" w:space="0" w:color="auto"/>
              <w:right w:val="nil"/>
            </w:tcBorders>
            <w:shd w:val="clear" w:color="000000" w:fill="D9D9D9"/>
            <w:hideMark/>
          </w:tcPr>
          <w:p w14:paraId="353EB87C"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13.30.00</w:t>
            </w:r>
          </w:p>
        </w:tc>
        <w:tc>
          <w:tcPr>
            <w:tcW w:w="669" w:type="dxa"/>
            <w:tcBorders>
              <w:top w:val="nil"/>
              <w:left w:val="nil"/>
              <w:bottom w:val="single" w:sz="4" w:space="0" w:color="auto"/>
              <w:right w:val="nil"/>
            </w:tcBorders>
            <w:shd w:val="clear" w:color="000000" w:fill="D9D9D9"/>
            <w:hideMark/>
          </w:tcPr>
          <w:p w14:paraId="42383A00" w14:textId="77777777" w:rsidR="00F37117" w:rsidRPr="00995AAB" w:rsidRDefault="00F37117" w:rsidP="007B4890">
            <w:pPr>
              <w:jc w:val="center"/>
              <w:rPr>
                <w:rFonts w:ascii="Calibri" w:hAnsi="Calibri"/>
                <w:color w:val="FF0000"/>
                <w:sz w:val="16"/>
                <w:szCs w:val="16"/>
                <w:lang w:val="en-GB"/>
              </w:rPr>
            </w:pPr>
            <w:r w:rsidRPr="00995AAB">
              <w:rPr>
                <w:rFonts w:ascii="Calibri" w:hAnsi="Calibri"/>
                <w:color w:val="FF0000"/>
                <w:sz w:val="16"/>
                <w:szCs w:val="16"/>
                <w:lang w:val="en-GB"/>
              </w:rPr>
              <w:t>1</w:t>
            </w:r>
          </w:p>
        </w:tc>
        <w:tc>
          <w:tcPr>
            <w:tcW w:w="1192" w:type="dxa"/>
            <w:tcBorders>
              <w:top w:val="nil"/>
              <w:left w:val="single" w:sz="4" w:space="0" w:color="auto"/>
              <w:bottom w:val="single" w:sz="4" w:space="0" w:color="auto"/>
              <w:right w:val="single" w:sz="4" w:space="0" w:color="auto"/>
            </w:tcBorders>
            <w:shd w:val="clear" w:color="auto" w:fill="auto"/>
            <w:hideMark/>
          </w:tcPr>
          <w:p w14:paraId="0215DA63"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c>
          <w:tcPr>
            <w:tcW w:w="1191" w:type="dxa"/>
            <w:tcBorders>
              <w:top w:val="nil"/>
              <w:left w:val="nil"/>
              <w:bottom w:val="single" w:sz="4" w:space="0" w:color="auto"/>
              <w:right w:val="single" w:sz="4" w:space="0" w:color="auto"/>
            </w:tcBorders>
            <w:shd w:val="clear" w:color="auto" w:fill="auto"/>
            <w:hideMark/>
          </w:tcPr>
          <w:p w14:paraId="1B67A6EA"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c>
          <w:tcPr>
            <w:tcW w:w="925" w:type="dxa"/>
            <w:tcBorders>
              <w:top w:val="nil"/>
              <w:left w:val="nil"/>
              <w:bottom w:val="single" w:sz="4" w:space="0" w:color="auto"/>
              <w:right w:val="single" w:sz="4" w:space="0" w:color="auto"/>
            </w:tcBorders>
            <w:shd w:val="clear" w:color="auto" w:fill="auto"/>
            <w:hideMark/>
          </w:tcPr>
          <w:p w14:paraId="727B1328"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c>
          <w:tcPr>
            <w:tcW w:w="980" w:type="dxa"/>
            <w:tcBorders>
              <w:top w:val="nil"/>
              <w:left w:val="nil"/>
              <w:bottom w:val="single" w:sz="4" w:space="0" w:color="auto"/>
              <w:right w:val="single" w:sz="4" w:space="0" w:color="auto"/>
            </w:tcBorders>
            <w:shd w:val="clear" w:color="auto" w:fill="auto"/>
            <w:noWrap/>
            <w:vAlign w:val="bottom"/>
            <w:hideMark/>
          </w:tcPr>
          <w:p w14:paraId="769AE68E"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c>
          <w:tcPr>
            <w:tcW w:w="1072" w:type="dxa"/>
            <w:tcBorders>
              <w:top w:val="nil"/>
              <w:left w:val="nil"/>
              <w:bottom w:val="single" w:sz="4" w:space="0" w:color="auto"/>
              <w:right w:val="single" w:sz="4" w:space="0" w:color="auto"/>
            </w:tcBorders>
            <w:shd w:val="clear" w:color="auto" w:fill="auto"/>
            <w:noWrap/>
            <w:vAlign w:val="bottom"/>
            <w:hideMark/>
          </w:tcPr>
          <w:p w14:paraId="2F8BCDB3"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c>
          <w:tcPr>
            <w:tcW w:w="980" w:type="dxa"/>
            <w:tcBorders>
              <w:top w:val="nil"/>
              <w:left w:val="nil"/>
              <w:bottom w:val="single" w:sz="4" w:space="0" w:color="auto"/>
              <w:right w:val="single" w:sz="4" w:space="0" w:color="auto"/>
            </w:tcBorders>
            <w:shd w:val="clear" w:color="auto" w:fill="auto"/>
            <w:noWrap/>
            <w:vAlign w:val="bottom"/>
            <w:hideMark/>
          </w:tcPr>
          <w:p w14:paraId="215F0619"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c>
          <w:tcPr>
            <w:tcW w:w="980" w:type="dxa"/>
            <w:tcBorders>
              <w:top w:val="nil"/>
              <w:left w:val="nil"/>
              <w:bottom w:val="single" w:sz="4" w:space="0" w:color="auto"/>
              <w:right w:val="single" w:sz="4" w:space="0" w:color="auto"/>
            </w:tcBorders>
            <w:shd w:val="clear" w:color="auto" w:fill="auto"/>
            <w:noWrap/>
            <w:vAlign w:val="bottom"/>
            <w:hideMark/>
          </w:tcPr>
          <w:p w14:paraId="5579BE27"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c>
          <w:tcPr>
            <w:tcW w:w="980" w:type="dxa"/>
            <w:tcBorders>
              <w:top w:val="nil"/>
              <w:left w:val="nil"/>
              <w:bottom w:val="single" w:sz="4" w:space="0" w:color="auto"/>
              <w:right w:val="single" w:sz="4" w:space="0" w:color="auto"/>
            </w:tcBorders>
            <w:shd w:val="clear" w:color="auto" w:fill="auto"/>
            <w:noWrap/>
            <w:vAlign w:val="bottom"/>
            <w:hideMark/>
          </w:tcPr>
          <w:p w14:paraId="3A80CC8A"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c>
          <w:tcPr>
            <w:tcW w:w="980" w:type="dxa"/>
            <w:tcBorders>
              <w:top w:val="nil"/>
              <w:left w:val="nil"/>
              <w:bottom w:val="single" w:sz="4" w:space="0" w:color="auto"/>
              <w:right w:val="single" w:sz="8" w:space="0" w:color="auto"/>
            </w:tcBorders>
            <w:shd w:val="clear" w:color="auto" w:fill="auto"/>
            <w:noWrap/>
            <w:vAlign w:val="bottom"/>
            <w:hideMark/>
          </w:tcPr>
          <w:p w14:paraId="7A3392F6"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r>
      <w:tr w:rsidR="00F37117" w:rsidRPr="00080375" w14:paraId="5408BBBE" w14:textId="77777777" w:rsidTr="007B4890">
        <w:trPr>
          <w:trHeight w:val="320"/>
        </w:trPr>
        <w:tc>
          <w:tcPr>
            <w:tcW w:w="911" w:type="dxa"/>
            <w:tcBorders>
              <w:top w:val="nil"/>
              <w:left w:val="single" w:sz="8" w:space="0" w:color="auto"/>
              <w:bottom w:val="single" w:sz="4" w:space="0" w:color="auto"/>
              <w:right w:val="nil"/>
            </w:tcBorders>
            <w:shd w:val="clear" w:color="000000" w:fill="D9D9D9"/>
            <w:hideMark/>
          </w:tcPr>
          <w:p w14:paraId="53C63B45"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c>
          <w:tcPr>
            <w:tcW w:w="669" w:type="dxa"/>
            <w:tcBorders>
              <w:top w:val="nil"/>
              <w:left w:val="nil"/>
              <w:bottom w:val="single" w:sz="4" w:space="0" w:color="auto"/>
              <w:right w:val="nil"/>
            </w:tcBorders>
            <w:shd w:val="clear" w:color="000000" w:fill="D9D9D9"/>
            <w:hideMark/>
          </w:tcPr>
          <w:p w14:paraId="76DCB94E" w14:textId="77777777" w:rsidR="00F37117" w:rsidRPr="00995AAB" w:rsidRDefault="00F37117" w:rsidP="007B4890">
            <w:pPr>
              <w:jc w:val="center"/>
              <w:rPr>
                <w:rFonts w:ascii="Calibri" w:hAnsi="Calibri"/>
                <w:color w:val="FF0000"/>
                <w:sz w:val="16"/>
                <w:szCs w:val="16"/>
                <w:lang w:val="en-GB"/>
              </w:rPr>
            </w:pPr>
            <w:r w:rsidRPr="00995AAB">
              <w:rPr>
                <w:rFonts w:ascii="Calibri" w:hAnsi="Calibri"/>
                <w:color w:val="FF0000"/>
                <w:sz w:val="16"/>
                <w:szCs w:val="16"/>
                <w:lang w:val="en-GB"/>
              </w:rPr>
              <w:t>2</w:t>
            </w:r>
          </w:p>
        </w:tc>
        <w:tc>
          <w:tcPr>
            <w:tcW w:w="1192" w:type="dxa"/>
            <w:tcBorders>
              <w:top w:val="nil"/>
              <w:left w:val="single" w:sz="4" w:space="0" w:color="auto"/>
              <w:bottom w:val="single" w:sz="4" w:space="0" w:color="auto"/>
              <w:right w:val="single" w:sz="4" w:space="0" w:color="auto"/>
            </w:tcBorders>
            <w:shd w:val="clear" w:color="auto" w:fill="auto"/>
            <w:hideMark/>
          </w:tcPr>
          <w:p w14:paraId="0CBDCD1D"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c>
          <w:tcPr>
            <w:tcW w:w="1191" w:type="dxa"/>
            <w:tcBorders>
              <w:top w:val="nil"/>
              <w:left w:val="nil"/>
              <w:bottom w:val="single" w:sz="4" w:space="0" w:color="auto"/>
              <w:right w:val="single" w:sz="4" w:space="0" w:color="auto"/>
            </w:tcBorders>
            <w:shd w:val="clear" w:color="auto" w:fill="auto"/>
            <w:hideMark/>
          </w:tcPr>
          <w:p w14:paraId="68729B0A"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c>
          <w:tcPr>
            <w:tcW w:w="925" w:type="dxa"/>
            <w:tcBorders>
              <w:top w:val="nil"/>
              <w:left w:val="nil"/>
              <w:bottom w:val="single" w:sz="4" w:space="0" w:color="auto"/>
              <w:right w:val="single" w:sz="4" w:space="0" w:color="auto"/>
            </w:tcBorders>
            <w:shd w:val="clear" w:color="auto" w:fill="auto"/>
            <w:hideMark/>
          </w:tcPr>
          <w:p w14:paraId="0FB2AFBE"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c>
          <w:tcPr>
            <w:tcW w:w="980" w:type="dxa"/>
            <w:tcBorders>
              <w:top w:val="nil"/>
              <w:left w:val="nil"/>
              <w:bottom w:val="single" w:sz="4" w:space="0" w:color="auto"/>
              <w:right w:val="single" w:sz="4" w:space="0" w:color="auto"/>
            </w:tcBorders>
            <w:shd w:val="clear" w:color="auto" w:fill="auto"/>
            <w:noWrap/>
            <w:vAlign w:val="bottom"/>
            <w:hideMark/>
          </w:tcPr>
          <w:p w14:paraId="550CCF15"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c>
          <w:tcPr>
            <w:tcW w:w="1072" w:type="dxa"/>
            <w:tcBorders>
              <w:top w:val="nil"/>
              <w:left w:val="nil"/>
              <w:bottom w:val="single" w:sz="4" w:space="0" w:color="auto"/>
              <w:right w:val="single" w:sz="4" w:space="0" w:color="auto"/>
            </w:tcBorders>
            <w:shd w:val="clear" w:color="auto" w:fill="auto"/>
            <w:noWrap/>
            <w:vAlign w:val="bottom"/>
            <w:hideMark/>
          </w:tcPr>
          <w:p w14:paraId="67714845"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c>
          <w:tcPr>
            <w:tcW w:w="980" w:type="dxa"/>
            <w:tcBorders>
              <w:top w:val="nil"/>
              <w:left w:val="nil"/>
              <w:bottom w:val="single" w:sz="4" w:space="0" w:color="auto"/>
              <w:right w:val="single" w:sz="4" w:space="0" w:color="auto"/>
            </w:tcBorders>
            <w:shd w:val="clear" w:color="auto" w:fill="auto"/>
            <w:noWrap/>
            <w:vAlign w:val="bottom"/>
            <w:hideMark/>
          </w:tcPr>
          <w:p w14:paraId="7FEE71A1"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c>
          <w:tcPr>
            <w:tcW w:w="980" w:type="dxa"/>
            <w:tcBorders>
              <w:top w:val="nil"/>
              <w:left w:val="nil"/>
              <w:bottom w:val="single" w:sz="4" w:space="0" w:color="auto"/>
              <w:right w:val="single" w:sz="4" w:space="0" w:color="auto"/>
            </w:tcBorders>
            <w:shd w:val="clear" w:color="auto" w:fill="auto"/>
            <w:noWrap/>
            <w:vAlign w:val="bottom"/>
            <w:hideMark/>
          </w:tcPr>
          <w:p w14:paraId="798A2346"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c>
          <w:tcPr>
            <w:tcW w:w="980" w:type="dxa"/>
            <w:tcBorders>
              <w:top w:val="nil"/>
              <w:left w:val="nil"/>
              <w:bottom w:val="single" w:sz="4" w:space="0" w:color="auto"/>
              <w:right w:val="single" w:sz="4" w:space="0" w:color="auto"/>
            </w:tcBorders>
            <w:shd w:val="clear" w:color="auto" w:fill="auto"/>
            <w:noWrap/>
            <w:vAlign w:val="bottom"/>
            <w:hideMark/>
          </w:tcPr>
          <w:p w14:paraId="437822F3"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c>
          <w:tcPr>
            <w:tcW w:w="980" w:type="dxa"/>
            <w:tcBorders>
              <w:top w:val="nil"/>
              <w:left w:val="nil"/>
              <w:bottom w:val="single" w:sz="4" w:space="0" w:color="auto"/>
              <w:right w:val="single" w:sz="8" w:space="0" w:color="auto"/>
            </w:tcBorders>
            <w:shd w:val="clear" w:color="auto" w:fill="auto"/>
            <w:noWrap/>
            <w:vAlign w:val="bottom"/>
            <w:hideMark/>
          </w:tcPr>
          <w:p w14:paraId="72E19B1E"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r>
      <w:tr w:rsidR="00F37117" w:rsidRPr="00080375" w14:paraId="00168B47" w14:textId="77777777" w:rsidTr="007B4890">
        <w:trPr>
          <w:trHeight w:val="320"/>
        </w:trPr>
        <w:tc>
          <w:tcPr>
            <w:tcW w:w="911" w:type="dxa"/>
            <w:tcBorders>
              <w:top w:val="nil"/>
              <w:left w:val="single" w:sz="8" w:space="0" w:color="auto"/>
              <w:bottom w:val="single" w:sz="4" w:space="0" w:color="auto"/>
              <w:right w:val="nil"/>
            </w:tcBorders>
            <w:shd w:val="clear" w:color="000000" w:fill="D9D9D9"/>
            <w:hideMark/>
          </w:tcPr>
          <w:p w14:paraId="6E174CF3"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c>
          <w:tcPr>
            <w:tcW w:w="669" w:type="dxa"/>
            <w:tcBorders>
              <w:top w:val="nil"/>
              <w:left w:val="nil"/>
              <w:bottom w:val="single" w:sz="4" w:space="0" w:color="auto"/>
              <w:right w:val="nil"/>
            </w:tcBorders>
            <w:shd w:val="clear" w:color="000000" w:fill="D9D9D9"/>
            <w:hideMark/>
          </w:tcPr>
          <w:p w14:paraId="0EEFF9D2" w14:textId="77777777" w:rsidR="00F37117" w:rsidRPr="00995AAB" w:rsidRDefault="00F37117" w:rsidP="007B4890">
            <w:pPr>
              <w:jc w:val="center"/>
              <w:rPr>
                <w:rFonts w:ascii="Calibri" w:hAnsi="Calibri"/>
                <w:color w:val="FF0000"/>
                <w:sz w:val="16"/>
                <w:szCs w:val="16"/>
                <w:lang w:val="en-GB"/>
              </w:rPr>
            </w:pPr>
            <w:r w:rsidRPr="00995AAB">
              <w:rPr>
                <w:rFonts w:ascii="Calibri" w:hAnsi="Calibri"/>
                <w:color w:val="FF0000"/>
                <w:sz w:val="16"/>
                <w:szCs w:val="16"/>
                <w:lang w:val="en-GB"/>
              </w:rPr>
              <w:t>3</w:t>
            </w:r>
          </w:p>
        </w:tc>
        <w:tc>
          <w:tcPr>
            <w:tcW w:w="1192" w:type="dxa"/>
            <w:tcBorders>
              <w:top w:val="nil"/>
              <w:left w:val="single" w:sz="4" w:space="0" w:color="auto"/>
              <w:bottom w:val="single" w:sz="4" w:space="0" w:color="auto"/>
              <w:right w:val="single" w:sz="4" w:space="0" w:color="auto"/>
            </w:tcBorders>
            <w:shd w:val="clear" w:color="auto" w:fill="auto"/>
            <w:hideMark/>
          </w:tcPr>
          <w:p w14:paraId="274FA45D"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c>
          <w:tcPr>
            <w:tcW w:w="1191" w:type="dxa"/>
            <w:tcBorders>
              <w:top w:val="nil"/>
              <w:left w:val="nil"/>
              <w:bottom w:val="single" w:sz="4" w:space="0" w:color="auto"/>
              <w:right w:val="single" w:sz="4" w:space="0" w:color="auto"/>
            </w:tcBorders>
            <w:shd w:val="clear" w:color="auto" w:fill="auto"/>
            <w:hideMark/>
          </w:tcPr>
          <w:p w14:paraId="35614AAB"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c>
          <w:tcPr>
            <w:tcW w:w="925" w:type="dxa"/>
            <w:tcBorders>
              <w:top w:val="nil"/>
              <w:left w:val="nil"/>
              <w:bottom w:val="single" w:sz="4" w:space="0" w:color="auto"/>
              <w:right w:val="single" w:sz="4" w:space="0" w:color="auto"/>
            </w:tcBorders>
            <w:shd w:val="clear" w:color="auto" w:fill="auto"/>
            <w:hideMark/>
          </w:tcPr>
          <w:p w14:paraId="707A5583"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c>
          <w:tcPr>
            <w:tcW w:w="980" w:type="dxa"/>
            <w:tcBorders>
              <w:top w:val="nil"/>
              <w:left w:val="nil"/>
              <w:bottom w:val="single" w:sz="4" w:space="0" w:color="auto"/>
              <w:right w:val="single" w:sz="4" w:space="0" w:color="auto"/>
            </w:tcBorders>
            <w:shd w:val="clear" w:color="auto" w:fill="auto"/>
            <w:noWrap/>
            <w:vAlign w:val="bottom"/>
            <w:hideMark/>
          </w:tcPr>
          <w:p w14:paraId="202F892A"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c>
          <w:tcPr>
            <w:tcW w:w="1072" w:type="dxa"/>
            <w:tcBorders>
              <w:top w:val="nil"/>
              <w:left w:val="nil"/>
              <w:bottom w:val="single" w:sz="4" w:space="0" w:color="auto"/>
              <w:right w:val="single" w:sz="4" w:space="0" w:color="auto"/>
            </w:tcBorders>
            <w:shd w:val="clear" w:color="auto" w:fill="auto"/>
            <w:noWrap/>
            <w:vAlign w:val="bottom"/>
            <w:hideMark/>
          </w:tcPr>
          <w:p w14:paraId="5AADCC6D"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c>
          <w:tcPr>
            <w:tcW w:w="980" w:type="dxa"/>
            <w:tcBorders>
              <w:top w:val="nil"/>
              <w:left w:val="nil"/>
              <w:bottom w:val="single" w:sz="4" w:space="0" w:color="auto"/>
              <w:right w:val="single" w:sz="4" w:space="0" w:color="auto"/>
            </w:tcBorders>
            <w:shd w:val="clear" w:color="auto" w:fill="auto"/>
            <w:noWrap/>
            <w:vAlign w:val="bottom"/>
            <w:hideMark/>
          </w:tcPr>
          <w:p w14:paraId="588845F7"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c>
          <w:tcPr>
            <w:tcW w:w="980" w:type="dxa"/>
            <w:tcBorders>
              <w:top w:val="nil"/>
              <w:left w:val="nil"/>
              <w:bottom w:val="single" w:sz="4" w:space="0" w:color="auto"/>
              <w:right w:val="single" w:sz="4" w:space="0" w:color="auto"/>
            </w:tcBorders>
            <w:shd w:val="clear" w:color="auto" w:fill="auto"/>
            <w:noWrap/>
            <w:vAlign w:val="bottom"/>
            <w:hideMark/>
          </w:tcPr>
          <w:p w14:paraId="7EF102CC"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c>
          <w:tcPr>
            <w:tcW w:w="980" w:type="dxa"/>
            <w:tcBorders>
              <w:top w:val="nil"/>
              <w:left w:val="nil"/>
              <w:bottom w:val="single" w:sz="4" w:space="0" w:color="auto"/>
              <w:right w:val="single" w:sz="4" w:space="0" w:color="auto"/>
            </w:tcBorders>
            <w:shd w:val="clear" w:color="auto" w:fill="auto"/>
            <w:noWrap/>
            <w:vAlign w:val="bottom"/>
            <w:hideMark/>
          </w:tcPr>
          <w:p w14:paraId="7F0545CA"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c>
          <w:tcPr>
            <w:tcW w:w="980" w:type="dxa"/>
            <w:tcBorders>
              <w:top w:val="nil"/>
              <w:left w:val="nil"/>
              <w:bottom w:val="single" w:sz="4" w:space="0" w:color="auto"/>
              <w:right w:val="single" w:sz="8" w:space="0" w:color="auto"/>
            </w:tcBorders>
            <w:shd w:val="clear" w:color="auto" w:fill="auto"/>
            <w:noWrap/>
            <w:vAlign w:val="bottom"/>
            <w:hideMark/>
          </w:tcPr>
          <w:p w14:paraId="085355FD"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r>
      <w:tr w:rsidR="00F37117" w:rsidRPr="00080375" w14:paraId="7ABF0FE1" w14:textId="77777777" w:rsidTr="007B4890">
        <w:trPr>
          <w:trHeight w:val="320"/>
        </w:trPr>
        <w:tc>
          <w:tcPr>
            <w:tcW w:w="911" w:type="dxa"/>
            <w:tcBorders>
              <w:top w:val="nil"/>
              <w:left w:val="single" w:sz="8" w:space="0" w:color="auto"/>
              <w:bottom w:val="single" w:sz="4" w:space="0" w:color="auto"/>
              <w:right w:val="nil"/>
            </w:tcBorders>
            <w:shd w:val="clear" w:color="000000" w:fill="D9D9D9"/>
            <w:hideMark/>
          </w:tcPr>
          <w:p w14:paraId="7BE9D764"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15.30.00</w:t>
            </w:r>
          </w:p>
        </w:tc>
        <w:tc>
          <w:tcPr>
            <w:tcW w:w="669" w:type="dxa"/>
            <w:tcBorders>
              <w:top w:val="nil"/>
              <w:left w:val="nil"/>
              <w:bottom w:val="single" w:sz="4" w:space="0" w:color="auto"/>
              <w:right w:val="nil"/>
            </w:tcBorders>
            <w:shd w:val="clear" w:color="000000" w:fill="D9D9D9"/>
            <w:hideMark/>
          </w:tcPr>
          <w:p w14:paraId="54F904CC" w14:textId="77777777" w:rsidR="00F37117" w:rsidRPr="00995AAB" w:rsidRDefault="00F37117" w:rsidP="007B4890">
            <w:pPr>
              <w:jc w:val="center"/>
              <w:rPr>
                <w:rFonts w:ascii="Calibri" w:hAnsi="Calibri"/>
                <w:color w:val="FF0000"/>
                <w:sz w:val="16"/>
                <w:szCs w:val="16"/>
                <w:lang w:val="en-GB"/>
              </w:rPr>
            </w:pPr>
            <w:r w:rsidRPr="00995AAB">
              <w:rPr>
                <w:rFonts w:ascii="Calibri" w:hAnsi="Calibri"/>
                <w:color w:val="FF0000"/>
                <w:sz w:val="16"/>
                <w:szCs w:val="16"/>
                <w:lang w:val="en-GB"/>
              </w:rPr>
              <w:t>1</w:t>
            </w:r>
          </w:p>
        </w:tc>
        <w:tc>
          <w:tcPr>
            <w:tcW w:w="1192" w:type="dxa"/>
            <w:tcBorders>
              <w:top w:val="nil"/>
              <w:left w:val="single" w:sz="4" w:space="0" w:color="auto"/>
              <w:bottom w:val="single" w:sz="4" w:space="0" w:color="auto"/>
              <w:right w:val="single" w:sz="4" w:space="0" w:color="auto"/>
            </w:tcBorders>
            <w:shd w:val="clear" w:color="auto" w:fill="auto"/>
            <w:hideMark/>
          </w:tcPr>
          <w:p w14:paraId="7039FC1E"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c>
          <w:tcPr>
            <w:tcW w:w="1191" w:type="dxa"/>
            <w:tcBorders>
              <w:top w:val="nil"/>
              <w:left w:val="nil"/>
              <w:bottom w:val="single" w:sz="4" w:space="0" w:color="auto"/>
              <w:right w:val="single" w:sz="4" w:space="0" w:color="auto"/>
            </w:tcBorders>
            <w:shd w:val="clear" w:color="auto" w:fill="auto"/>
            <w:hideMark/>
          </w:tcPr>
          <w:p w14:paraId="7B8A0E52"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c>
          <w:tcPr>
            <w:tcW w:w="925" w:type="dxa"/>
            <w:tcBorders>
              <w:top w:val="nil"/>
              <w:left w:val="nil"/>
              <w:bottom w:val="single" w:sz="4" w:space="0" w:color="auto"/>
              <w:right w:val="single" w:sz="4" w:space="0" w:color="auto"/>
            </w:tcBorders>
            <w:shd w:val="clear" w:color="auto" w:fill="auto"/>
            <w:hideMark/>
          </w:tcPr>
          <w:p w14:paraId="7A5450B4"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c>
          <w:tcPr>
            <w:tcW w:w="980" w:type="dxa"/>
            <w:tcBorders>
              <w:top w:val="nil"/>
              <w:left w:val="nil"/>
              <w:bottom w:val="single" w:sz="4" w:space="0" w:color="auto"/>
              <w:right w:val="single" w:sz="4" w:space="0" w:color="auto"/>
            </w:tcBorders>
            <w:shd w:val="clear" w:color="auto" w:fill="auto"/>
            <w:noWrap/>
            <w:vAlign w:val="bottom"/>
            <w:hideMark/>
          </w:tcPr>
          <w:p w14:paraId="0FA8FF68"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c>
          <w:tcPr>
            <w:tcW w:w="1072" w:type="dxa"/>
            <w:tcBorders>
              <w:top w:val="nil"/>
              <w:left w:val="nil"/>
              <w:bottom w:val="single" w:sz="4" w:space="0" w:color="auto"/>
              <w:right w:val="single" w:sz="4" w:space="0" w:color="auto"/>
            </w:tcBorders>
            <w:shd w:val="clear" w:color="auto" w:fill="auto"/>
            <w:noWrap/>
            <w:vAlign w:val="bottom"/>
            <w:hideMark/>
          </w:tcPr>
          <w:p w14:paraId="615AEF8D"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c>
          <w:tcPr>
            <w:tcW w:w="980" w:type="dxa"/>
            <w:tcBorders>
              <w:top w:val="nil"/>
              <w:left w:val="nil"/>
              <w:bottom w:val="single" w:sz="4" w:space="0" w:color="auto"/>
              <w:right w:val="single" w:sz="4" w:space="0" w:color="auto"/>
            </w:tcBorders>
            <w:shd w:val="clear" w:color="auto" w:fill="auto"/>
            <w:noWrap/>
            <w:vAlign w:val="bottom"/>
            <w:hideMark/>
          </w:tcPr>
          <w:p w14:paraId="78A4EBF4"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c>
          <w:tcPr>
            <w:tcW w:w="980" w:type="dxa"/>
            <w:tcBorders>
              <w:top w:val="nil"/>
              <w:left w:val="nil"/>
              <w:bottom w:val="single" w:sz="4" w:space="0" w:color="auto"/>
              <w:right w:val="single" w:sz="4" w:space="0" w:color="auto"/>
            </w:tcBorders>
            <w:shd w:val="clear" w:color="auto" w:fill="auto"/>
            <w:noWrap/>
            <w:vAlign w:val="bottom"/>
            <w:hideMark/>
          </w:tcPr>
          <w:p w14:paraId="69FCF9E2"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c>
          <w:tcPr>
            <w:tcW w:w="980" w:type="dxa"/>
            <w:tcBorders>
              <w:top w:val="nil"/>
              <w:left w:val="nil"/>
              <w:bottom w:val="single" w:sz="4" w:space="0" w:color="auto"/>
              <w:right w:val="single" w:sz="4" w:space="0" w:color="auto"/>
            </w:tcBorders>
            <w:shd w:val="clear" w:color="auto" w:fill="auto"/>
            <w:noWrap/>
            <w:vAlign w:val="bottom"/>
            <w:hideMark/>
          </w:tcPr>
          <w:p w14:paraId="290B31E3"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c>
          <w:tcPr>
            <w:tcW w:w="980" w:type="dxa"/>
            <w:tcBorders>
              <w:top w:val="nil"/>
              <w:left w:val="nil"/>
              <w:bottom w:val="single" w:sz="4" w:space="0" w:color="auto"/>
              <w:right w:val="single" w:sz="8" w:space="0" w:color="auto"/>
            </w:tcBorders>
            <w:shd w:val="clear" w:color="auto" w:fill="auto"/>
            <w:noWrap/>
            <w:vAlign w:val="bottom"/>
            <w:hideMark/>
          </w:tcPr>
          <w:p w14:paraId="2D85A2B0"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r>
      <w:tr w:rsidR="00F37117" w:rsidRPr="00080375" w14:paraId="5292EE33" w14:textId="77777777" w:rsidTr="007B4890">
        <w:trPr>
          <w:trHeight w:val="320"/>
        </w:trPr>
        <w:tc>
          <w:tcPr>
            <w:tcW w:w="911" w:type="dxa"/>
            <w:tcBorders>
              <w:top w:val="nil"/>
              <w:left w:val="single" w:sz="8" w:space="0" w:color="auto"/>
              <w:bottom w:val="single" w:sz="4" w:space="0" w:color="auto"/>
              <w:right w:val="nil"/>
            </w:tcBorders>
            <w:shd w:val="clear" w:color="000000" w:fill="D9D9D9"/>
            <w:hideMark/>
          </w:tcPr>
          <w:p w14:paraId="0ED111B1"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c>
          <w:tcPr>
            <w:tcW w:w="669" w:type="dxa"/>
            <w:tcBorders>
              <w:top w:val="nil"/>
              <w:left w:val="nil"/>
              <w:bottom w:val="single" w:sz="4" w:space="0" w:color="auto"/>
              <w:right w:val="nil"/>
            </w:tcBorders>
            <w:shd w:val="clear" w:color="000000" w:fill="D9D9D9"/>
            <w:hideMark/>
          </w:tcPr>
          <w:p w14:paraId="05A07CF6" w14:textId="77777777" w:rsidR="00F37117" w:rsidRPr="00995AAB" w:rsidRDefault="00F37117" w:rsidP="007B4890">
            <w:pPr>
              <w:jc w:val="center"/>
              <w:rPr>
                <w:rFonts w:ascii="Calibri" w:hAnsi="Calibri"/>
                <w:color w:val="FF0000"/>
                <w:sz w:val="16"/>
                <w:szCs w:val="16"/>
                <w:lang w:val="en-GB"/>
              </w:rPr>
            </w:pPr>
            <w:r w:rsidRPr="00995AAB">
              <w:rPr>
                <w:rFonts w:ascii="Calibri" w:hAnsi="Calibri"/>
                <w:color w:val="FF0000"/>
                <w:sz w:val="16"/>
                <w:szCs w:val="16"/>
                <w:lang w:val="en-GB"/>
              </w:rPr>
              <w:t>2</w:t>
            </w:r>
          </w:p>
        </w:tc>
        <w:tc>
          <w:tcPr>
            <w:tcW w:w="1192" w:type="dxa"/>
            <w:tcBorders>
              <w:top w:val="nil"/>
              <w:left w:val="single" w:sz="4" w:space="0" w:color="auto"/>
              <w:bottom w:val="single" w:sz="4" w:space="0" w:color="auto"/>
              <w:right w:val="single" w:sz="4" w:space="0" w:color="auto"/>
            </w:tcBorders>
            <w:shd w:val="clear" w:color="auto" w:fill="auto"/>
            <w:hideMark/>
          </w:tcPr>
          <w:p w14:paraId="78E68BAE"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c>
          <w:tcPr>
            <w:tcW w:w="1191" w:type="dxa"/>
            <w:tcBorders>
              <w:top w:val="nil"/>
              <w:left w:val="nil"/>
              <w:bottom w:val="single" w:sz="4" w:space="0" w:color="auto"/>
              <w:right w:val="single" w:sz="4" w:space="0" w:color="auto"/>
            </w:tcBorders>
            <w:shd w:val="clear" w:color="auto" w:fill="auto"/>
            <w:hideMark/>
          </w:tcPr>
          <w:p w14:paraId="3F8999C2"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c>
          <w:tcPr>
            <w:tcW w:w="925" w:type="dxa"/>
            <w:tcBorders>
              <w:top w:val="nil"/>
              <w:left w:val="nil"/>
              <w:bottom w:val="single" w:sz="4" w:space="0" w:color="auto"/>
              <w:right w:val="single" w:sz="4" w:space="0" w:color="auto"/>
            </w:tcBorders>
            <w:shd w:val="clear" w:color="auto" w:fill="auto"/>
            <w:hideMark/>
          </w:tcPr>
          <w:p w14:paraId="1CDC7195"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c>
          <w:tcPr>
            <w:tcW w:w="980" w:type="dxa"/>
            <w:tcBorders>
              <w:top w:val="nil"/>
              <w:left w:val="nil"/>
              <w:bottom w:val="single" w:sz="4" w:space="0" w:color="auto"/>
              <w:right w:val="single" w:sz="4" w:space="0" w:color="auto"/>
            </w:tcBorders>
            <w:shd w:val="clear" w:color="auto" w:fill="auto"/>
            <w:noWrap/>
            <w:vAlign w:val="bottom"/>
            <w:hideMark/>
          </w:tcPr>
          <w:p w14:paraId="4FFE2D41"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c>
          <w:tcPr>
            <w:tcW w:w="1072" w:type="dxa"/>
            <w:tcBorders>
              <w:top w:val="nil"/>
              <w:left w:val="nil"/>
              <w:bottom w:val="single" w:sz="4" w:space="0" w:color="auto"/>
              <w:right w:val="single" w:sz="4" w:space="0" w:color="auto"/>
            </w:tcBorders>
            <w:shd w:val="clear" w:color="auto" w:fill="auto"/>
            <w:noWrap/>
            <w:vAlign w:val="bottom"/>
            <w:hideMark/>
          </w:tcPr>
          <w:p w14:paraId="651B056E"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c>
          <w:tcPr>
            <w:tcW w:w="980" w:type="dxa"/>
            <w:tcBorders>
              <w:top w:val="nil"/>
              <w:left w:val="nil"/>
              <w:bottom w:val="single" w:sz="4" w:space="0" w:color="auto"/>
              <w:right w:val="single" w:sz="4" w:space="0" w:color="auto"/>
            </w:tcBorders>
            <w:shd w:val="clear" w:color="auto" w:fill="auto"/>
            <w:noWrap/>
            <w:vAlign w:val="bottom"/>
            <w:hideMark/>
          </w:tcPr>
          <w:p w14:paraId="58AC3F9A"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c>
          <w:tcPr>
            <w:tcW w:w="980" w:type="dxa"/>
            <w:tcBorders>
              <w:top w:val="nil"/>
              <w:left w:val="nil"/>
              <w:bottom w:val="single" w:sz="4" w:space="0" w:color="auto"/>
              <w:right w:val="single" w:sz="4" w:space="0" w:color="auto"/>
            </w:tcBorders>
            <w:shd w:val="clear" w:color="auto" w:fill="auto"/>
            <w:noWrap/>
            <w:vAlign w:val="bottom"/>
            <w:hideMark/>
          </w:tcPr>
          <w:p w14:paraId="6310CD56"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c>
          <w:tcPr>
            <w:tcW w:w="980" w:type="dxa"/>
            <w:tcBorders>
              <w:top w:val="nil"/>
              <w:left w:val="nil"/>
              <w:bottom w:val="single" w:sz="4" w:space="0" w:color="auto"/>
              <w:right w:val="single" w:sz="4" w:space="0" w:color="auto"/>
            </w:tcBorders>
            <w:shd w:val="clear" w:color="auto" w:fill="auto"/>
            <w:noWrap/>
            <w:vAlign w:val="bottom"/>
            <w:hideMark/>
          </w:tcPr>
          <w:p w14:paraId="16A246A5"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c>
          <w:tcPr>
            <w:tcW w:w="980" w:type="dxa"/>
            <w:tcBorders>
              <w:top w:val="nil"/>
              <w:left w:val="nil"/>
              <w:bottom w:val="single" w:sz="4" w:space="0" w:color="auto"/>
              <w:right w:val="single" w:sz="8" w:space="0" w:color="auto"/>
            </w:tcBorders>
            <w:shd w:val="clear" w:color="auto" w:fill="auto"/>
            <w:noWrap/>
            <w:vAlign w:val="bottom"/>
            <w:hideMark/>
          </w:tcPr>
          <w:p w14:paraId="6A7CD8B8"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r>
      <w:tr w:rsidR="00F37117" w:rsidRPr="00080375" w14:paraId="29B33D89" w14:textId="77777777" w:rsidTr="007B4890">
        <w:trPr>
          <w:trHeight w:val="340"/>
        </w:trPr>
        <w:tc>
          <w:tcPr>
            <w:tcW w:w="911" w:type="dxa"/>
            <w:tcBorders>
              <w:top w:val="nil"/>
              <w:left w:val="single" w:sz="8" w:space="0" w:color="auto"/>
              <w:bottom w:val="single" w:sz="8" w:space="0" w:color="auto"/>
              <w:right w:val="nil"/>
            </w:tcBorders>
            <w:shd w:val="clear" w:color="000000" w:fill="D9D9D9"/>
            <w:hideMark/>
          </w:tcPr>
          <w:p w14:paraId="69C8EED2"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lastRenderedPageBreak/>
              <w:t> </w:t>
            </w:r>
          </w:p>
        </w:tc>
        <w:tc>
          <w:tcPr>
            <w:tcW w:w="669" w:type="dxa"/>
            <w:tcBorders>
              <w:top w:val="nil"/>
              <w:left w:val="nil"/>
              <w:bottom w:val="single" w:sz="8" w:space="0" w:color="auto"/>
              <w:right w:val="nil"/>
            </w:tcBorders>
            <w:shd w:val="clear" w:color="000000" w:fill="D9D9D9"/>
            <w:hideMark/>
          </w:tcPr>
          <w:p w14:paraId="5C7ED564" w14:textId="77777777" w:rsidR="00F37117" w:rsidRPr="00995AAB" w:rsidRDefault="00F37117" w:rsidP="007B4890">
            <w:pPr>
              <w:jc w:val="center"/>
              <w:rPr>
                <w:rFonts w:ascii="Calibri" w:hAnsi="Calibri"/>
                <w:color w:val="FF0000"/>
                <w:sz w:val="16"/>
                <w:szCs w:val="16"/>
                <w:lang w:val="en-GB"/>
              </w:rPr>
            </w:pPr>
            <w:r w:rsidRPr="00995AAB">
              <w:rPr>
                <w:rFonts w:ascii="Calibri" w:hAnsi="Calibri"/>
                <w:color w:val="FF0000"/>
                <w:sz w:val="16"/>
                <w:szCs w:val="16"/>
                <w:lang w:val="en-GB"/>
              </w:rPr>
              <w:t>3</w:t>
            </w:r>
          </w:p>
        </w:tc>
        <w:tc>
          <w:tcPr>
            <w:tcW w:w="1192" w:type="dxa"/>
            <w:tcBorders>
              <w:top w:val="nil"/>
              <w:left w:val="single" w:sz="4" w:space="0" w:color="auto"/>
              <w:bottom w:val="single" w:sz="8" w:space="0" w:color="auto"/>
              <w:right w:val="single" w:sz="4" w:space="0" w:color="auto"/>
            </w:tcBorders>
            <w:shd w:val="clear" w:color="auto" w:fill="auto"/>
            <w:hideMark/>
          </w:tcPr>
          <w:p w14:paraId="08CD34C6"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c>
          <w:tcPr>
            <w:tcW w:w="1191" w:type="dxa"/>
            <w:tcBorders>
              <w:top w:val="nil"/>
              <w:left w:val="nil"/>
              <w:bottom w:val="single" w:sz="8" w:space="0" w:color="auto"/>
              <w:right w:val="single" w:sz="4" w:space="0" w:color="auto"/>
            </w:tcBorders>
            <w:shd w:val="clear" w:color="auto" w:fill="auto"/>
            <w:hideMark/>
          </w:tcPr>
          <w:p w14:paraId="436E426E"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c>
          <w:tcPr>
            <w:tcW w:w="925" w:type="dxa"/>
            <w:tcBorders>
              <w:top w:val="nil"/>
              <w:left w:val="nil"/>
              <w:bottom w:val="single" w:sz="8" w:space="0" w:color="auto"/>
              <w:right w:val="single" w:sz="4" w:space="0" w:color="auto"/>
            </w:tcBorders>
            <w:shd w:val="clear" w:color="auto" w:fill="auto"/>
            <w:hideMark/>
          </w:tcPr>
          <w:p w14:paraId="77F76022"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c>
          <w:tcPr>
            <w:tcW w:w="980" w:type="dxa"/>
            <w:tcBorders>
              <w:top w:val="nil"/>
              <w:left w:val="nil"/>
              <w:bottom w:val="single" w:sz="8" w:space="0" w:color="auto"/>
              <w:right w:val="single" w:sz="4" w:space="0" w:color="auto"/>
            </w:tcBorders>
            <w:shd w:val="clear" w:color="auto" w:fill="auto"/>
            <w:noWrap/>
            <w:vAlign w:val="bottom"/>
            <w:hideMark/>
          </w:tcPr>
          <w:p w14:paraId="682FE0F3"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c>
          <w:tcPr>
            <w:tcW w:w="1072" w:type="dxa"/>
            <w:tcBorders>
              <w:top w:val="nil"/>
              <w:left w:val="nil"/>
              <w:bottom w:val="single" w:sz="8" w:space="0" w:color="auto"/>
              <w:right w:val="single" w:sz="4" w:space="0" w:color="auto"/>
            </w:tcBorders>
            <w:shd w:val="clear" w:color="auto" w:fill="auto"/>
            <w:noWrap/>
            <w:vAlign w:val="bottom"/>
            <w:hideMark/>
          </w:tcPr>
          <w:p w14:paraId="0FD5BA00"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c>
          <w:tcPr>
            <w:tcW w:w="980" w:type="dxa"/>
            <w:tcBorders>
              <w:top w:val="nil"/>
              <w:left w:val="nil"/>
              <w:bottom w:val="single" w:sz="8" w:space="0" w:color="auto"/>
              <w:right w:val="single" w:sz="4" w:space="0" w:color="auto"/>
            </w:tcBorders>
            <w:shd w:val="clear" w:color="auto" w:fill="auto"/>
            <w:noWrap/>
            <w:vAlign w:val="bottom"/>
            <w:hideMark/>
          </w:tcPr>
          <w:p w14:paraId="154D3ECF"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c>
          <w:tcPr>
            <w:tcW w:w="980" w:type="dxa"/>
            <w:tcBorders>
              <w:top w:val="nil"/>
              <w:left w:val="nil"/>
              <w:bottom w:val="single" w:sz="8" w:space="0" w:color="auto"/>
              <w:right w:val="single" w:sz="4" w:space="0" w:color="auto"/>
            </w:tcBorders>
            <w:shd w:val="clear" w:color="auto" w:fill="auto"/>
            <w:noWrap/>
            <w:vAlign w:val="bottom"/>
            <w:hideMark/>
          </w:tcPr>
          <w:p w14:paraId="4F6F5680"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c>
          <w:tcPr>
            <w:tcW w:w="980" w:type="dxa"/>
            <w:tcBorders>
              <w:top w:val="nil"/>
              <w:left w:val="nil"/>
              <w:bottom w:val="single" w:sz="8" w:space="0" w:color="auto"/>
              <w:right w:val="single" w:sz="4" w:space="0" w:color="auto"/>
            </w:tcBorders>
            <w:shd w:val="clear" w:color="auto" w:fill="auto"/>
            <w:noWrap/>
            <w:vAlign w:val="bottom"/>
            <w:hideMark/>
          </w:tcPr>
          <w:p w14:paraId="7D565B64"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c>
          <w:tcPr>
            <w:tcW w:w="980" w:type="dxa"/>
            <w:tcBorders>
              <w:top w:val="nil"/>
              <w:left w:val="nil"/>
              <w:bottom w:val="single" w:sz="8" w:space="0" w:color="auto"/>
              <w:right w:val="single" w:sz="8" w:space="0" w:color="auto"/>
            </w:tcBorders>
            <w:shd w:val="clear" w:color="auto" w:fill="auto"/>
            <w:noWrap/>
            <w:vAlign w:val="bottom"/>
            <w:hideMark/>
          </w:tcPr>
          <w:p w14:paraId="74FD04EF"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r>
    </w:tbl>
    <w:p w14:paraId="5C4C7C39" w14:textId="77777777" w:rsidR="00F37117" w:rsidRPr="00995AAB" w:rsidRDefault="00F37117" w:rsidP="00F37117">
      <w:pPr>
        <w:rPr>
          <w:lang w:val="en-GB"/>
        </w:rPr>
      </w:pPr>
    </w:p>
    <w:p w14:paraId="7D466D2C" w14:textId="77777777" w:rsidR="00F37117" w:rsidRPr="00995AAB" w:rsidRDefault="002F6500">
      <w:pPr>
        <w:rPr>
          <w:lang w:val="en-GB"/>
        </w:rPr>
      </w:pPr>
      <w:r>
        <w:rPr>
          <w:lang w:val="en-GB"/>
        </w:rPr>
        <w:t xml:space="preserve">The </w:t>
      </w:r>
      <w:r w:rsidR="00F37117" w:rsidRPr="00995AAB">
        <w:rPr>
          <w:lang w:val="en-GB"/>
        </w:rPr>
        <w:t xml:space="preserve">execution is to be used for the purpose of table 3 in the case </w:t>
      </w:r>
      <w:r>
        <w:rPr>
          <w:lang w:val="en-GB"/>
        </w:rPr>
        <w:t>where</w:t>
      </w:r>
      <w:r w:rsidR="00F37117" w:rsidRPr="00995AAB">
        <w:rPr>
          <w:lang w:val="en-GB"/>
        </w:rPr>
        <w:t xml:space="preserve"> no trade executed within 2 minutes after time T and the trading status is an aucti</w:t>
      </w:r>
      <w:r>
        <w:rPr>
          <w:lang w:val="en-GB"/>
        </w:rPr>
        <w:t>on is the t</w:t>
      </w:r>
      <w:r w:rsidR="00F37117" w:rsidRPr="00995AAB">
        <w:rPr>
          <w:lang w:val="en-GB"/>
        </w:rPr>
        <w:t>otal size of the transaction(s) that occurred at the uncrossing</w:t>
      </w:r>
      <w:r>
        <w:rPr>
          <w:lang w:val="en-GB"/>
        </w:rPr>
        <w:t xml:space="preserve"> (auction)</w:t>
      </w:r>
      <w:r w:rsidR="00F37117" w:rsidRPr="00995AAB">
        <w:rPr>
          <w:lang w:val="en-GB"/>
        </w:rPr>
        <w:t>.</w:t>
      </w:r>
    </w:p>
    <w:p w14:paraId="11D7225B" w14:textId="77777777" w:rsidR="00F37117" w:rsidRPr="00995AAB" w:rsidRDefault="00F37117" w:rsidP="00F37117">
      <w:pPr>
        <w:rPr>
          <w:lang w:val="en-GB"/>
        </w:rPr>
      </w:pPr>
    </w:p>
    <w:p w14:paraId="054DA9CB" w14:textId="77777777" w:rsidR="00F37117" w:rsidRPr="00995AAB" w:rsidRDefault="00F37117" w:rsidP="00F37117">
      <w:pPr>
        <w:rPr>
          <w:b/>
          <w:lang w:val="en-GB"/>
        </w:rPr>
      </w:pPr>
      <w:r w:rsidRPr="00995AAB">
        <w:rPr>
          <w:b/>
          <w:lang w:val="en-GB"/>
        </w:rPr>
        <w:t>Table 4</w:t>
      </w:r>
    </w:p>
    <w:p w14:paraId="0F779516" w14:textId="77777777" w:rsidR="00F37117" w:rsidRPr="00995AAB" w:rsidRDefault="00F37117" w:rsidP="00F37117">
      <w:pPr>
        <w:rPr>
          <w:lang w:val="en-GB"/>
        </w:rPr>
      </w:pPr>
    </w:p>
    <w:p w14:paraId="799F1347" w14:textId="77777777" w:rsidR="00F37117" w:rsidRPr="00995AAB" w:rsidRDefault="00F37117" w:rsidP="00F37117">
      <w:pPr>
        <w:rPr>
          <w:lang w:val="en-GB"/>
        </w:rPr>
      </w:pPr>
      <w:r w:rsidRPr="00995AAB">
        <w:rPr>
          <w:lang w:val="en-GB"/>
        </w:rPr>
        <w:t>No impact with regards to auctions.</w:t>
      </w:r>
    </w:p>
    <w:p w14:paraId="66B38406" w14:textId="77777777" w:rsidR="00F37117" w:rsidRPr="00995AAB" w:rsidRDefault="00F37117" w:rsidP="00F37117">
      <w:pPr>
        <w:rPr>
          <w:lang w:val="en-GB"/>
        </w:rPr>
      </w:pPr>
    </w:p>
    <w:p w14:paraId="0FDCD67D" w14:textId="77777777" w:rsidR="00F37117" w:rsidRPr="00995AAB" w:rsidRDefault="00F37117" w:rsidP="00F37117">
      <w:pPr>
        <w:rPr>
          <w:b/>
          <w:lang w:val="en-GB"/>
        </w:rPr>
      </w:pPr>
      <w:r w:rsidRPr="00995AAB">
        <w:rPr>
          <w:b/>
          <w:lang w:val="en-GB"/>
        </w:rPr>
        <w:t>Table 5</w:t>
      </w:r>
    </w:p>
    <w:p w14:paraId="261D3A00" w14:textId="77777777" w:rsidR="00F37117" w:rsidRPr="00995AAB" w:rsidRDefault="00F37117" w:rsidP="00F37117">
      <w:pPr>
        <w:rPr>
          <w:lang w:val="en-GB"/>
        </w:rPr>
      </w:pPr>
    </w:p>
    <w:p w14:paraId="4A46DB81" w14:textId="77777777" w:rsidR="00F37117" w:rsidRPr="00995AAB" w:rsidRDefault="00F37117" w:rsidP="00F37117">
      <w:pPr>
        <w:rPr>
          <w:lang w:val="en-GB"/>
        </w:rPr>
      </w:pPr>
      <w:r w:rsidRPr="00995AAB">
        <w:rPr>
          <w:lang w:val="en-GB"/>
        </w:rPr>
        <w:t>No impact with regards to auctions.</w:t>
      </w:r>
    </w:p>
    <w:p w14:paraId="1B5FC4F9" w14:textId="77777777" w:rsidR="00F37117" w:rsidRPr="00995AAB" w:rsidRDefault="00F37117" w:rsidP="00F37117">
      <w:pPr>
        <w:rPr>
          <w:lang w:val="en-GB"/>
        </w:rPr>
      </w:pPr>
    </w:p>
    <w:p w14:paraId="44144785" w14:textId="77777777" w:rsidR="00F37117" w:rsidRPr="00995AAB" w:rsidRDefault="00F37117" w:rsidP="00F37117">
      <w:pPr>
        <w:rPr>
          <w:b/>
          <w:lang w:val="en-GB"/>
        </w:rPr>
      </w:pPr>
      <w:r w:rsidRPr="00995AAB">
        <w:rPr>
          <w:b/>
          <w:lang w:val="en-GB"/>
        </w:rPr>
        <w:t>Table 6</w:t>
      </w:r>
    </w:p>
    <w:p w14:paraId="59088298" w14:textId="77777777" w:rsidR="00F37117" w:rsidRPr="00995AAB" w:rsidRDefault="00F37117" w:rsidP="00F37117">
      <w:pPr>
        <w:rPr>
          <w:lang w:val="en-GB"/>
        </w:rPr>
      </w:pPr>
    </w:p>
    <w:p w14:paraId="3686F3C9" w14:textId="77777777" w:rsidR="00F37117" w:rsidRPr="00995AAB" w:rsidRDefault="00F37117" w:rsidP="00F37117">
      <w:pPr>
        <w:rPr>
          <w:lang w:val="en-GB"/>
        </w:rPr>
      </w:pPr>
      <w:r w:rsidRPr="00995AAB">
        <w:rPr>
          <w:lang w:val="en-GB"/>
        </w:rPr>
        <w:t>No impact with regards to auctions.</w:t>
      </w:r>
    </w:p>
    <w:p w14:paraId="72433571" w14:textId="77777777" w:rsidR="00F37117" w:rsidRPr="00995AAB" w:rsidRDefault="00F37117" w:rsidP="00F37117">
      <w:pPr>
        <w:rPr>
          <w:lang w:val="en-GB"/>
        </w:rPr>
      </w:pPr>
    </w:p>
    <w:p w14:paraId="17661E93" w14:textId="77777777" w:rsidR="00F37117" w:rsidRPr="00995AAB" w:rsidRDefault="00F37117" w:rsidP="00F37117">
      <w:pPr>
        <w:rPr>
          <w:lang w:val="en-GB"/>
        </w:rPr>
      </w:pPr>
    </w:p>
    <w:p w14:paraId="43AF9DE2" w14:textId="77777777" w:rsidR="00F37117" w:rsidRPr="00995AAB" w:rsidRDefault="00F37117" w:rsidP="00F37117">
      <w:pPr>
        <w:rPr>
          <w:b/>
          <w:lang w:val="en-GB"/>
        </w:rPr>
      </w:pPr>
      <w:r w:rsidRPr="00995AAB">
        <w:rPr>
          <w:b/>
          <w:lang w:val="en-GB"/>
        </w:rPr>
        <w:t>Table 7</w:t>
      </w:r>
    </w:p>
    <w:p w14:paraId="4348AE95" w14:textId="77777777" w:rsidR="00F37117" w:rsidRPr="00995AAB" w:rsidRDefault="00F37117" w:rsidP="00F37117">
      <w:pPr>
        <w:rPr>
          <w:lang w:val="en-GB"/>
        </w:rPr>
      </w:pPr>
    </w:p>
    <w:p w14:paraId="565E6EE8" w14:textId="77777777" w:rsidR="00F37117" w:rsidRPr="00995AAB" w:rsidRDefault="00F37117" w:rsidP="00F37117">
      <w:pPr>
        <w:rPr>
          <w:lang w:val="en-GB"/>
        </w:rPr>
      </w:pPr>
      <w:r w:rsidRPr="00995AAB">
        <w:rPr>
          <w:lang w:val="en-GB"/>
        </w:rPr>
        <w:t>If the order book is in an auction as trading status.</w:t>
      </w:r>
    </w:p>
    <w:p w14:paraId="7FD19FE1" w14:textId="77777777" w:rsidR="00F37117" w:rsidRPr="00995AAB" w:rsidRDefault="00F37117" w:rsidP="00F37117">
      <w:pPr>
        <w:rPr>
          <w:lang w:val="en-GB"/>
        </w:rPr>
      </w:pPr>
    </w:p>
    <w:p w14:paraId="27EF86A2" w14:textId="77777777" w:rsidR="00F37117" w:rsidRPr="00995AAB" w:rsidRDefault="00F37117" w:rsidP="00F37117">
      <w:pPr>
        <w:rPr>
          <w:lang w:val="en-GB"/>
        </w:rPr>
      </w:pPr>
      <w:r w:rsidRPr="00995AAB">
        <w:rPr>
          <w:lang w:val="en-GB"/>
        </w:rPr>
        <w:t>Suggestion:</w:t>
      </w:r>
    </w:p>
    <w:tbl>
      <w:tblPr>
        <w:tblW w:w="10380" w:type="dxa"/>
        <w:tblLook w:val="04A0" w:firstRow="1" w:lastRow="0" w:firstColumn="1" w:lastColumn="0" w:noHBand="0" w:noVBand="1"/>
      </w:tblPr>
      <w:tblGrid>
        <w:gridCol w:w="1580"/>
        <w:gridCol w:w="1760"/>
        <w:gridCol w:w="1760"/>
        <w:gridCol w:w="1760"/>
        <w:gridCol w:w="1760"/>
        <w:gridCol w:w="1760"/>
      </w:tblGrid>
      <w:tr w:rsidR="00F37117" w:rsidRPr="00080375" w14:paraId="51A7C255" w14:textId="77777777" w:rsidTr="007B4890">
        <w:trPr>
          <w:trHeight w:val="600"/>
        </w:trPr>
        <w:tc>
          <w:tcPr>
            <w:tcW w:w="1580" w:type="dxa"/>
            <w:tcBorders>
              <w:top w:val="single" w:sz="8" w:space="0" w:color="auto"/>
              <w:left w:val="single" w:sz="8" w:space="0" w:color="auto"/>
              <w:bottom w:val="single" w:sz="4" w:space="0" w:color="auto"/>
              <w:right w:val="single" w:sz="4" w:space="0" w:color="auto"/>
            </w:tcBorders>
            <w:shd w:val="clear" w:color="000000" w:fill="D9D9D9"/>
            <w:vAlign w:val="bottom"/>
            <w:hideMark/>
          </w:tcPr>
          <w:p w14:paraId="2B0CAD20"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Time</w:t>
            </w:r>
          </w:p>
        </w:tc>
        <w:tc>
          <w:tcPr>
            <w:tcW w:w="1760" w:type="dxa"/>
            <w:tcBorders>
              <w:top w:val="single" w:sz="8" w:space="0" w:color="auto"/>
              <w:left w:val="nil"/>
              <w:bottom w:val="single" w:sz="4" w:space="0" w:color="auto"/>
              <w:right w:val="single" w:sz="4" w:space="0" w:color="auto"/>
            </w:tcBorders>
            <w:shd w:val="clear" w:color="000000" w:fill="D9D9D9"/>
            <w:vAlign w:val="bottom"/>
            <w:hideMark/>
          </w:tcPr>
          <w:p w14:paraId="205A67EA"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Best Bid Price</w:t>
            </w:r>
          </w:p>
        </w:tc>
        <w:tc>
          <w:tcPr>
            <w:tcW w:w="1760" w:type="dxa"/>
            <w:tcBorders>
              <w:top w:val="single" w:sz="8" w:space="0" w:color="auto"/>
              <w:left w:val="nil"/>
              <w:bottom w:val="single" w:sz="4" w:space="0" w:color="auto"/>
              <w:right w:val="single" w:sz="4" w:space="0" w:color="auto"/>
            </w:tcBorders>
            <w:shd w:val="clear" w:color="000000" w:fill="D9D9D9"/>
            <w:vAlign w:val="bottom"/>
            <w:hideMark/>
          </w:tcPr>
          <w:p w14:paraId="475133D4"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Best Offer Price</w:t>
            </w:r>
          </w:p>
        </w:tc>
        <w:tc>
          <w:tcPr>
            <w:tcW w:w="1760" w:type="dxa"/>
            <w:tcBorders>
              <w:top w:val="single" w:sz="8" w:space="0" w:color="auto"/>
              <w:left w:val="nil"/>
              <w:bottom w:val="single" w:sz="4" w:space="0" w:color="auto"/>
              <w:right w:val="single" w:sz="4" w:space="0" w:color="auto"/>
            </w:tcBorders>
            <w:shd w:val="clear" w:color="000000" w:fill="D9D9D9"/>
            <w:vAlign w:val="bottom"/>
            <w:hideMark/>
          </w:tcPr>
          <w:p w14:paraId="113E3239"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Bid Size</w:t>
            </w:r>
          </w:p>
        </w:tc>
        <w:tc>
          <w:tcPr>
            <w:tcW w:w="1760" w:type="dxa"/>
            <w:tcBorders>
              <w:top w:val="single" w:sz="8" w:space="0" w:color="auto"/>
              <w:left w:val="nil"/>
              <w:bottom w:val="single" w:sz="4" w:space="0" w:color="auto"/>
              <w:right w:val="nil"/>
            </w:tcBorders>
            <w:shd w:val="clear" w:color="000000" w:fill="D9D9D9"/>
            <w:vAlign w:val="bottom"/>
            <w:hideMark/>
          </w:tcPr>
          <w:p w14:paraId="1A195EE5"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Offer Sizes</w:t>
            </w:r>
          </w:p>
        </w:tc>
        <w:tc>
          <w:tcPr>
            <w:tcW w:w="1760" w:type="dxa"/>
            <w:tcBorders>
              <w:top w:val="single" w:sz="8" w:space="0" w:color="auto"/>
              <w:left w:val="single" w:sz="4" w:space="0" w:color="auto"/>
              <w:bottom w:val="single" w:sz="4" w:space="0" w:color="auto"/>
              <w:right w:val="single" w:sz="8" w:space="0" w:color="auto"/>
            </w:tcBorders>
            <w:shd w:val="clear" w:color="000000" w:fill="D9D9D9"/>
            <w:vAlign w:val="bottom"/>
            <w:hideMark/>
          </w:tcPr>
          <w:p w14:paraId="5A5A34C8"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Book depth within 3 price increments</w:t>
            </w:r>
          </w:p>
        </w:tc>
      </w:tr>
      <w:tr w:rsidR="00F37117" w:rsidRPr="00080375" w14:paraId="3EC8B114" w14:textId="77777777" w:rsidTr="007B4890">
        <w:trPr>
          <w:trHeight w:val="320"/>
        </w:trPr>
        <w:tc>
          <w:tcPr>
            <w:tcW w:w="1580" w:type="dxa"/>
            <w:tcBorders>
              <w:top w:val="nil"/>
              <w:left w:val="single" w:sz="8" w:space="0" w:color="auto"/>
              <w:bottom w:val="single" w:sz="4" w:space="0" w:color="auto"/>
              <w:right w:val="single" w:sz="4" w:space="0" w:color="auto"/>
            </w:tcBorders>
            <w:shd w:val="clear" w:color="000000" w:fill="D9D9D9"/>
            <w:hideMark/>
          </w:tcPr>
          <w:p w14:paraId="2BD72360"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09.30.00</w:t>
            </w:r>
          </w:p>
        </w:tc>
        <w:tc>
          <w:tcPr>
            <w:tcW w:w="1760" w:type="dxa"/>
            <w:tcBorders>
              <w:top w:val="nil"/>
              <w:left w:val="nil"/>
              <w:bottom w:val="single" w:sz="4" w:space="0" w:color="auto"/>
              <w:right w:val="single" w:sz="4" w:space="0" w:color="auto"/>
            </w:tcBorders>
            <w:shd w:val="clear" w:color="auto" w:fill="auto"/>
            <w:vAlign w:val="center"/>
            <w:hideMark/>
          </w:tcPr>
          <w:p w14:paraId="7774F44F" w14:textId="77777777" w:rsidR="00F37117" w:rsidRPr="00995AAB" w:rsidRDefault="00F37117" w:rsidP="007B4890">
            <w:pPr>
              <w:rPr>
                <w:rFonts w:ascii="Calibri" w:hAnsi="Calibri"/>
                <w:color w:val="FF0000"/>
                <w:sz w:val="16"/>
                <w:szCs w:val="16"/>
                <w:lang w:val="en-GB"/>
              </w:rPr>
            </w:pPr>
            <w:r w:rsidRPr="00995AAB">
              <w:rPr>
                <w:rFonts w:ascii="Calibri" w:hAnsi="Calibri"/>
                <w:color w:val="FF0000"/>
                <w:sz w:val="16"/>
                <w:szCs w:val="16"/>
                <w:lang w:val="en-GB"/>
              </w:rPr>
              <w:t>7f)</w:t>
            </w:r>
          </w:p>
        </w:tc>
        <w:tc>
          <w:tcPr>
            <w:tcW w:w="1760" w:type="dxa"/>
            <w:tcBorders>
              <w:top w:val="nil"/>
              <w:left w:val="nil"/>
              <w:bottom w:val="single" w:sz="4" w:space="0" w:color="auto"/>
              <w:right w:val="single" w:sz="4" w:space="0" w:color="auto"/>
            </w:tcBorders>
            <w:shd w:val="clear" w:color="auto" w:fill="auto"/>
            <w:vAlign w:val="center"/>
            <w:hideMark/>
          </w:tcPr>
          <w:p w14:paraId="5CCD841E" w14:textId="77777777" w:rsidR="00F37117" w:rsidRPr="00995AAB" w:rsidRDefault="00F37117" w:rsidP="007B4890">
            <w:pPr>
              <w:rPr>
                <w:rFonts w:ascii="Calibri" w:hAnsi="Calibri"/>
                <w:color w:val="FF0000"/>
                <w:sz w:val="16"/>
                <w:szCs w:val="16"/>
                <w:lang w:val="en-GB"/>
              </w:rPr>
            </w:pPr>
            <w:r w:rsidRPr="00995AAB">
              <w:rPr>
                <w:rFonts w:ascii="Calibri" w:hAnsi="Calibri"/>
                <w:color w:val="FF0000"/>
                <w:sz w:val="16"/>
                <w:szCs w:val="16"/>
                <w:lang w:val="en-GB"/>
              </w:rPr>
              <w:t>7f)</w:t>
            </w:r>
          </w:p>
        </w:tc>
        <w:tc>
          <w:tcPr>
            <w:tcW w:w="1760" w:type="dxa"/>
            <w:tcBorders>
              <w:top w:val="nil"/>
              <w:left w:val="nil"/>
              <w:bottom w:val="single" w:sz="4" w:space="0" w:color="auto"/>
              <w:right w:val="single" w:sz="4" w:space="0" w:color="auto"/>
            </w:tcBorders>
            <w:shd w:val="clear" w:color="auto" w:fill="auto"/>
            <w:vAlign w:val="center"/>
            <w:hideMark/>
          </w:tcPr>
          <w:p w14:paraId="535251D5" w14:textId="77777777" w:rsidR="00F37117" w:rsidRPr="00995AAB" w:rsidRDefault="00F37117" w:rsidP="007B4890">
            <w:pPr>
              <w:rPr>
                <w:rFonts w:ascii="Calibri" w:hAnsi="Calibri"/>
                <w:color w:val="FF0000"/>
                <w:sz w:val="16"/>
                <w:szCs w:val="16"/>
                <w:lang w:val="en-GB"/>
              </w:rPr>
            </w:pPr>
            <w:r w:rsidRPr="00995AAB">
              <w:rPr>
                <w:rFonts w:ascii="Calibri" w:hAnsi="Calibri"/>
                <w:color w:val="FF0000"/>
                <w:sz w:val="16"/>
                <w:szCs w:val="16"/>
                <w:lang w:val="en-GB"/>
              </w:rPr>
              <w:t>7g)</w:t>
            </w:r>
          </w:p>
        </w:tc>
        <w:tc>
          <w:tcPr>
            <w:tcW w:w="1760" w:type="dxa"/>
            <w:tcBorders>
              <w:top w:val="nil"/>
              <w:left w:val="nil"/>
              <w:bottom w:val="single" w:sz="4" w:space="0" w:color="auto"/>
              <w:right w:val="nil"/>
            </w:tcBorders>
            <w:shd w:val="clear" w:color="auto" w:fill="auto"/>
            <w:vAlign w:val="center"/>
            <w:hideMark/>
          </w:tcPr>
          <w:p w14:paraId="181A378A" w14:textId="77777777" w:rsidR="00F37117" w:rsidRPr="00995AAB" w:rsidRDefault="00F37117" w:rsidP="007B4890">
            <w:pPr>
              <w:rPr>
                <w:rFonts w:ascii="Calibri" w:hAnsi="Calibri"/>
                <w:color w:val="FF0000"/>
                <w:sz w:val="16"/>
                <w:szCs w:val="16"/>
                <w:lang w:val="en-GB"/>
              </w:rPr>
            </w:pPr>
            <w:r w:rsidRPr="00995AAB">
              <w:rPr>
                <w:rFonts w:ascii="Calibri" w:hAnsi="Calibri"/>
                <w:color w:val="FF0000"/>
                <w:sz w:val="16"/>
                <w:szCs w:val="16"/>
                <w:lang w:val="en-GB"/>
              </w:rPr>
              <w:t>7g)</w:t>
            </w:r>
          </w:p>
        </w:tc>
        <w:tc>
          <w:tcPr>
            <w:tcW w:w="1760" w:type="dxa"/>
            <w:tcBorders>
              <w:top w:val="nil"/>
              <w:left w:val="single" w:sz="4" w:space="0" w:color="auto"/>
              <w:bottom w:val="single" w:sz="4" w:space="0" w:color="auto"/>
              <w:right w:val="single" w:sz="8" w:space="0" w:color="auto"/>
            </w:tcBorders>
            <w:shd w:val="clear" w:color="auto" w:fill="auto"/>
            <w:noWrap/>
            <w:vAlign w:val="center"/>
            <w:hideMark/>
          </w:tcPr>
          <w:p w14:paraId="40D176D5" w14:textId="77777777" w:rsidR="00F37117" w:rsidRPr="00995AAB" w:rsidRDefault="00F37117" w:rsidP="007B4890">
            <w:pPr>
              <w:rPr>
                <w:rFonts w:ascii="Calibri" w:hAnsi="Calibri"/>
                <w:color w:val="FF0000"/>
                <w:sz w:val="16"/>
                <w:szCs w:val="16"/>
                <w:lang w:val="en-GB"/>
              </w:rPr>
            </w:pPr>
            <w:r w:rsidRPr="00995AAB">
              <w:rPr>
                <w:rFonts w:ascii="Calibri" w:hAnsi="Calibri"/>
                <w:color w:val="FF0000"/>
                <w:sz w:val="16"/>
                <w:szCs w:val="16"/>
                <w:lang w:val="en-GB"/>
              </w:rPr>
              <w:t>N/A</w:t>
            </w:r>
          </w:p>
        </w:tc>
      </w:tr>
      <w:tr w:rsidR="00F37117" w:rsidRPr="00080375" w14:paraId="3D17CFC6" w14:textId="77777777" w:rsidTr="007B4890">
        <w:trPr>
          <w:trHeight w:val="320"/>
        </w:trPr>
        <w:tc>
          <w:tcPr>
            <w:tcW w:w="1580" w:type="dxa"/>
            <w:tcBorders>
              <w:top w:val="nil"/>
              <w:left w:val="single" w:sz="8" w:space="0" w:color="auto"/>
              <w:bottom w:val="single" w:sz="4" w:space="0" w:color="auto"/>
              <w:right w:val="single" w:sz="4" w:space="0" w:color="auto"/>
            </w:tcBorders>
            <w:shd w:val="clear" w:color="000000" w:fill="D9D9D9"/>
            <w:hideMark/>
          </w:tcPr>
          <w:p w14:paraId="343E3517"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11.30.00</w:t>
            </w:r>
          </w:p>
        </w:tc>
        <w:tc>
          <w:tcPr>
            <w:tcW w:w="1760" w:type="dxa"/>
            <w:tcBorders>
              <w:top w:val="nil"/>
              <w:left w:val="nil"/>
              <w:bottom w:val="single" w:sz="4" w:space="0" w:color="auto"/>
              <w:right w:val="single" w:sz="4" w:space="0" w:color="auto"/>
            </w:tcBorders>
            <w:shd w:val="clear" w:color="auto" w:fill="auto"/>
            <w:hideMark/>
          </w:tcPr>
          <w:p w14:paraId="5187919D"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c>
          <w:tcPr>
            <w:tcW w:w="1760" w:type="dxa"/>
            <w:tcBorders>
              <w:top w:val="nil"/>
              <w:left w:val="nil"/>
              <w:bottom w:val="single" w:sz="4" w:space="0" w:color="auto"/>
              <w:right w:val="single" w:sz="4" w:space="0" w:color="auto"/>
            </w:tcBorders>
            <w:shd w:val="clear" w:color="auto" w:fill="auto"/>
            <w:hideMark/>
          </w:tcPr>
          <w:p w14:paraId="58EA2134"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c>
          <w:tcPr>
            <w:tcW w:w="1760" w:type="dxa"/>
            <w:tcBorders>
              <w:top w:val="nil"/>
              <w:left w:val="nil"/>
              <w:bottom w:val="single" w:sz="4" w:space="0" w:color="auto"/>
              <w:right w:val="single" w:sz="4" w:space="0" w:color="auto"/>
            </w:tcBorders>
            <w:shd w:val="clear" w:color="auto" w:fill="auto"/>
            <w:hideMark/>
          </w:tcPr>
          <w:p w14:paraId="2908BAAF"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c>
          <w:tcPr>
            <w:tcW w:w="1760" w:type="dxa"/>
            <w:tcBorders>
              <w:top w:val="nil"/>
              <w:left w:val="nil"/>
              <w:bottom w:val="single" w:sz="4" w:space="0" w:color="auto"/>
              <w:right w:val="nil"/>
            </w:tcBorders>
            <w:shd w:val="clear" w:color="auto" w:fill="auto"/>
            <w:hideMark/>
          </w:tcPr>
          <w:p w14:paraId="4EEE898A"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c>
          <w:tcPr>
            <w:tcW w:w="1760" w:type="dxa"/>
            <w:tcBorders>
              <w:top w:val="nil"/>
              <w:left w:val="single" w:sz="4" w:space="0" w:color="auto"/>
              <w:bottom w:val="single" w:sz="4" w:space="0" w:color="auto"/>
              <w:right w:val="single" w:sz="8" w:space="0" w:color="auto"/>
            </w:tcBorders>
            <w:shd w:val="clear" w:color="auto" w:fill="auto"/>
            <w:noWrap/>
            <w:vAlign w:val="bottom"/>
            <w:hideMark/>
          </w:tcPr>
          <w:p w14:paraId="301F554A"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r>
      <w:tr w:rsidR="00F37117" w:rsidRPr="00080375" w14:paraId="1484E895" w14:textId="77777777" w:rsidTr="007B4890">
        <w:trPr>
          <w:trHeight w:val="320"/>
        </w:trPr>
        <w:tc>
          <w:tcPr>
            <w:tcW w:w="1580" w:type="dxa"/>
            <w:tcBorders>
              <w:top w:val="nil"/>
              <w:left w:val="single" w:sz="8" w:space="0" w:color="auto"/>
              <w:bottom w:val="single" w:sz="4" w:space="0" w:color="auto"/>
              <w:right w:val="single" w:sz="4" w:space="0" w:color="auto"/>
            </w:tcBorders>
            <w:shd w:val="clear" w:color="000000" w:fill="D9D9D9"/>
            <w:hideMark/>
          </w:tcPr>
          <w:p w14:paraId="558ABB3E"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13.30.00</w:t>
            </w:r>
          </w:p>
        </w:tc>
        <w:tc>
          <w:tcPr>
            <w:tcW w:w="1760" w:type="dxa"/>
            <w:tcBorders>
              <w:top w:val="nil"/>
              <w:left w:val="nil"/>
              <w:bottom w:val="single" w:sz="4" w:space="0" w:color="auto"/>
              <w:right w:val="single" w:sz="4" w:space="0" w:color="auto"/>
            </w:tcBorders>
            <w:shd w:val="clear" w:color="auto" w:fill="auto"/>
            <w:hideMark/>
          </w:tcPr>
          <w:p w14:paraId="463E0AF8"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c>
          <w:tcPr>
            <w:tcW w:w="1760" w:type="dxa"/>
            <w:tcBorders>
              <w:top w:val="nil"/>
              <w:left w:val="nil"/>
              <w:bottom w:val="single" w:sz="4" w:space="0" w:color="auto"/>
              <w:right w:val="single" w:sz="4" w:space="0" w:color="auto"/>
            </w:tcBorders>
            <w:shd w:val="clear" w:color="auto" w:fill="auto"/>
            <w:hideMark/>
          </w:tcPr>
          <w:p w14:paraId="5537B6F1"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c>
          <w:tcPr>
            <w:tcW w:w="1760" w:type="dxa"/>
            <w:tcBorders>
              <w:top w:val="nil"/>
              <w:left w:val="nil"/>
              <w:bottom w:val="single" w:sz="4" w:space="0" w:color="auto"/>
              <w:right w:val="single" w:sz="4" w:space="0" w:color="auto"/>
            </w:tcBorders>
            <w:shd w:val="clear" w:color="auto" w:fill="auto"/>
            <w:hideMark/>
          </w:tcPr>
          <w:p w14:paraId="55721623"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c>
          <w:tcPr>
            <w:tcW w:w="1760" w:type="dxa"/>
            <w:tcBorders>
              <w:top w:val="nil"/>
              <w:left w:val="nil"/>
              <w:bottom w:val="single" w:sz="4" w:space="0" w:color="auto"/>
              <w:right w:val="nil"/>
            </w:tcBorders>
            <w:shd w:val="clear" w:color="auto" w:fill="auto"/>
            <w:hideMark/>
          </w:tcPr>
          <w:p w14:paraId="14C82DB6"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c>
          <w:tcPr>
            <w:tcW w:w="1760" w:type="dxa"/>
            <w:tcBorders>
              <w:top w:val="nil"/>
              <w:left w:val="single" w:sz="4" w:space="0" w:color="auto"/>
              <w:bottom w:val="single" w:sz="4" w:space="0" w:color="auto"/>
              <w:right w:val="single" w:sz="8" w:space="0" w:color="auto"/>
            </w:tcBorders>
            <w:shd w:val="clear" w:color="auto" w:fill="auto"/>
            <w:noWrap/>
            <w:vAlign w:val="bottom"/>
            <w:hideMark/>
          </w:tcPr>
          <w:p w14:paraId="5E8E4F4B"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r>
      <w:tr w:rsidR="00F37117" w:rsidRPr="00080375" w14:paraId="5232C042" w14:textId="77777777" w:rsidTr="007B4890">
        <w:trPr>
          <w:trHeight w:val="340"/>
        </w:trPr>
        <w:tc>
          <w:tcPr>
            <w:tcW w:w="1580" w:type="dxa"/>
            <w:tcBorders>
              <w:top w:val="nil"/>
              <w:left w:val="single" w:sz="8" w:space="0" w:color="auto"/>
              <w:bottom w:val="single" w:sz="8" w:space="0" w:color="auto"/>
              <w:right w:val="single" w:sz="4" w:space="0" w:color="auto"/>
            </w:tcBorders>
            <w:shd w:val="clear" w:color="000000" w:fill="D9D9D9"/>
            <w:hideMark/>
          </w:tcPr>
          <w:p w14:paraId="49DB6B07"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15.30.00</w:t>
            </w:r>
          </w:p>
        </w:tc>
        <w:tc>
          <w:tcPr>
            <w:tcW w:w="1760" w:type="dxa"/>
            <w:tcBorders>
              <w:top w:val="nil"/>
              <w:left w:val="nil"/>
              <w:bottom w:val="single" w:sz="8" w:space="0" w:color="auto"/>
              <w:right w:val="single" w:sz="4" w:space="0" w:color="auto"/>
            </w:tcBorders>
            <w:shd w:val="clear" w:color="auto" w:fill="auto"/>
            <w:hideMark/>
          </w:tcPr>
          <w:p w14:paraId="01A5CFA7"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c>
          <w:tcPr>
            <w:tcW w:w="1760" w:type="dxa"/>
            <w:tcBorders>
              <w:top w:val="nil"/>
              <w:left w:val="nil"/>
              <w:bottom w:val="single" w:sz="8" w:space="0" w:color="auto"/>
              <w:right w:val="single" w:sz="4" w:space="0" w:color="auto"/>
            </w:tcBorders>
            <w:shd w:val="clear" w:color="auto" w:fill="auto"/>
            <w:hideMark/>
          </w:tcPr>
          <w:p w14:paraId="511BE08E"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c>
          <w:tcPr>
            <w:tcW w:w="1760" w:type="dxa"/>
            <w:tcBorders>
              <w:top w:val="nil"/>
              <w:left w:val="nil"/>
              <w:bottom w:val="single" w:sz="8" w:space="0" w:color="auto"/>
              <w:right w:val="single" w:sz="4" w:space="0" w:color="auto"/>
            </w:tcBorders>
            <w:shd w:val="clear" w:color="auto" w:fill="auto"/>
            <w:hideMark/>
          </w:tcPr>
          <w:p w14:paraId="35828BD8"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c>
          <w:tcPr>
            <w:tcW w:w="1760" w:type="dxa"/>
            <w:tcBorders>
              <w:top w:val="nil"/>
              <w:left w:val="nil"/>
              <w:bottom w:val="single" w:sz="8" w:space="0" w:color="auto"/>
              <w:right w:val="nil"/>
            </w:tcBorders>
            <w:shd w:val="clear" w:color="auto" w:fill="auto"/>
            <w:hideMark/>
          </w:tcPr>
          <w:p w14:paraId="6C3B9DC1"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c>
          <w:tcPr>
            <w:tcW w:w="1760" w:type="dxa"/>
            <w:tcBorders>
              <w:top w:val="nil"/>
              <w:left w:val="single" w:sz="4" w:space="0" w:color="auto"/>
              <w:bottom w:val="single" w:sz="8" w:space="0" w:color="auto"/>
              <w:right w:val="single" w:sz="8" w:space="0" w:color="auto"/>
            </w:tcBorders>
            <w:shd w:val="clear" w:color="auto" w:fill="auto"/>
            <w:noWrap/>
            <w:vAlign w:val="bottom"/>
            <w:hideMark/>
          </w:tcPr>
          <w:p w14:paraId="461FEF79"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w:t>
            </w:r>
          </w:p>
        </w:tc>
      </w:tr>
    </w:tbl>
    <w:p w14:paraId="000692E0" w14:textId="77777777" w:rsidR="00F37117" w:rsidRPr="00995AAB" w:rsidRDefault="00F37117" w:rsidP="00F37117">
      <w:pPr>
        <w:rPr>
          <w:lang w:val="en-GB"/>
        </w:rPr>
      </w:pPr>
    </w:p>
    <w:p w14:paraId="173D4843" w14:textId="77777777" w:rsidR="00F37117" w:rsidRPr="00995AAB" w:rsidRDefault="00F37117" w:rsidP="00F37117">
      <w:pPr>
        <w:rPr>
          <w:lang w:val="en-GB"/>
        </w:rPr>
      </w:pPr>
      <w:r w:rsidRPr="00995AAB">
        <w:rPr>
          <w:lang w:val="en-GB"/>
        </w:rPr>
        <w:t xml:space="preserve">7f) indicative auction price </w:t>
      </w:r>
    </w:p>
    <w:p w14:paraId="2509DE40" w14:textId="77777777" w:rsidR="00F37117" w:rsidRPr="00995AAB" w:rsidRDefault="00F37117" w:rsidP="00F37117">
      <w:pPr>
        <w:rPr>
          <w:lang w:val="en-GB"/>
        </w:rPr>
      </w:pPr>
      <w:r w:rsidRPr="00995AAB">
        <w:rPr>
          <w:lang w:val="en-GB"/>
        </w:rPr>
        <w:t>7g) indicative auction volume</w:t>
      </w:r>
    </w:p>
    <w:p w14:paraId="06A00F52" w14:textId="35ED9C1C" w:rsidR="00F37117" w:rsidRDefault="00F37117" w:rsidP="00F37117">
      <w:pPr>
        <w:rPr>
          <w:lang w:val="en-GB"/>
        </w:rPr>
      </w:pPr>
    </w:p>
    <w:p w14:paraId="778ABA7B" w14:textId="6905C005" w:rsidR="004F62BB" w:rsidRDefault="004F62BB" w:rsidP="00F37117">
      <w:pPr>
        <w:rPr>
          <w:lang w:val="en-GB"/>
        </w:rPr>
      </w:pPr>
    </w:p>
    <w:p w14:paraId="36B186CF" w14:textId="77777777" w:rsidR="00F37117" w:rsidRPr="00995AAB" w:rsidRDefault="00F37117" w:rsidP="00F37117">
      <w:pPr>
        <w:rPr>
          <w:b/>
          <w:lang w:val="en-GB"/>
        </w:rPr>
      </w:pPr>
      <w:r w:rsidRPr="00995AAB">
        <w:rPr>
          <w:b/>
          <w:lang w:val="en-GB"/>
        </w:rPr>
        <w:t>Table 8</w:t>
      </w:r>
    </w:p>
    <w:p w14:paraId="538D8B8A" w14:textId="77777777" w:rsidR="00F37117" w:rsidRPr="00995AAB" w:rsidRDefault="00F37117" w:rsidP="00F37117">
      <w:pPr>
        <w:rPr>
          <w:lang w:val="en-GB"/>
        </w:rPr>
      </w:pPr>
      <w:r w:rsidRPr="00995AAB">
        <w:rPr>
          <w:lang w:val="en-GB"/>
        </w:rPr>
        <w:t xml:space="preserve">No impact with regards to auctions. </w:t>
      </w:r>
    </w:p>
    <w:p w14:paraId="782F0CE3" w14:textId="77777777" w:rsidR="00F37117" w:rsidRPr="00995AAB" w:rsidRDefault="00F37117" w:rsidP="00F37117">
      <w:pPr>
        <w:rPr>
          <w:lang w:val="en-GB"/>
        </w:rPr>
      </w:pPr>
    </w:p>
    <w:p w14:paraId="400E65EA" w14:textId="77777777" w:rsidR="00F37117" w:rsidRPr="00995AAB" w:rsidRDefault="00F37117" w:rsidP="00F37117">
      <w:pPr>
        <w:rPr>
          <w:lang w:val="en-GB"/>
        </w:rPr>
      </w:pPr>
      <w:r w:rsidRPr="00995AAB">
        <w:rPr>
          <w:lang w:val="en-GB"/>
        </w:rPr>
        <w:t>Question to discuss:</w:t>
      </w:r>
    </w:p>
    <w:p w14:paraId="036888D2" w14:textId="77777777" w:rsidR="00F37117" w:rsidRPr="00995AAB" w:rsidRDefault="00F37117" w:rsidP="00F37117">
      <w:pPr>
        <w:rPr>
          <w:lang w:val="en-GB"/>
        </w:rPr>
      </w:pPr>
      <w:r w:rsidRPr="00995AAB">
        <w:rPr>
          <w:lang w:val="en-GB"/>
        </w:rPr>
        <w:t xml:space="preserve">In the case of a periodic auction book or similar type of trading system. </w:t>
      </w:r>
    </w:p>
    <w:p w14:paraId="5C55865A" w14:textId="77777777" w:rsidR="00F37117" w:rsidRPr="00995AAB" w:rsidRDefault="00F37117" w:rsidP="00F37117">
      <w:pPr>
        <w:rPr>
          <w:lang w:val="en-GB"/>
        </w:rPr>
      </w:pPr>
    </w:p>
    <w:tbl>
      <w:tblPr>
        <w:tblW w:w="5960" w:type="dxa"/>
        <w:tblLook w:val="04A0" w:firstRow="1" w:lastRow="0" w:firstColumn="1" w:lastColumn="0" w:noHBand="0" w:noVBand="1"/>
      </w:tblPr>
      <w:tblGrid>
        <w:gridCol w:w="4200"/>
        <w:gridCol w:w="1760"/>
      </w:tblGrid>
      <w:tr w:rsidR="00F37117" w:rsidRPr="00080375" w14:paraId="2B7A2A22" w14:textId="77777777" w:rsidTr="007B4890">
        <w:trPr>
          <w:trHeight w:val="320"/>
        </w:trPr>
        <w:tc>
          <w:tcPr>
            <w:tcW w:w="4200" w:type="dxa"/>
            <w:tcBorders>
              <w:top w:val="single" w:sz="8" w:space="0" w:color="auto"/>
              <w:left w:val="single" w:sz="8" w:space="0" w:color="auto"/>
              <w:bottom w:val="single" w:sz="4" w:space="0" w:color="auto"/>
              <w:right w:val="single" w:sz="4" w:space="0" w:color="auto"/>
            </w:tcBorders>
            <w:shd w:val="clear" w:color="000000" w:fill="D9D9D9"/>
            <w:hideMark/>
          </w:tcPr>
          <w:p w14:paraId="58100F06"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Average effective spread</w:t>
            </w:r>
          </w:p>
        </w:tc>
        <w:tc>
          <w:tcPr>
            <w:tcW w:w="1760" w:type="dxa"/>
            <w:tcBorders>
              <w:top w:val="single" w:sz="8" w:space="0" w:color="auto"/>
              <w:left w:val="nil"/>
              <w:bottom w:val="single" w:sz="4" w:space="0" w:color="auto"/>
              <w:right w:val="single" w:sz="8" w:space="0" w:color="auto"/>
            </w:tcBorders>
            <w:shd w:val="clear" w:color="auto" w:fill="auto"/>
            <w:hideMark/>
          </w:tcPr>
          <w:p w14:paraId="7B1D3B55" w14:textId="77777777" w:rsidR="00F37117" w:rsidRPr="00995AAB" w:rsidRDefault="00F37117" w:rsidP="007B4890">
            <w:pPr>
              <w:rPr>
                <w:rFonts w:ascii="Calibri" w:hAnsi="Calibri"/>
                <w:color w:val="FF0000"/>
                <w:sz w:val="16"/>
                <w:szCs w:val="16"/>
                <w:lang w:val="en-GB"/>
              </w:rPr>
            </w:pPr>
            <w:r w:rsidRPr="00995AAB">
              <w:rPr>
                <w:rFonts w:ascii="Calibri" w:hAnsi="Calibri"/>
                <w:color w:val="FF0000"/>
                <w:sz w:val="16"/>
                <w:szCs w:val="16"/>
                <w:lang w:val="en-GB"/>
              </w:rPr>
              <w:t>N/A</w:t>
            </w:r>
          </w:p>
        </w:tc>
      </w:tr>
      <w:tr w:rsidR="00F37117" w:rsidRPr="00080375" w14:paraId="0BD5C4A2" w14:textId="77777777" w:rsidTr="007B4890">
        <w:trPr>
          <w:trHeight w:val="320"/>
        </w:trPr>
        <w:tc>
          <w:tcPr>
            <w:tcW w:w="4200" w:type="dxa"/>
            <w:tcBorders>
              <w:top w:val="nil"/>
              <w:left w:val="single" w:sz="8" w:space="0" w:color="auto"/>
              <w:bottom w:val="single" w:sz="4" w:space="0" w:color="auto"/>
              <w:right w:val="single" w:sz="4" w:space="0" w:color="auto"/>
            </w:tcBorders>
            <w:shd w:val="clear" w:color="000000" w:fill="D9D9D9"/>
            <w:hideMark/>
          </w:tcPr>
          <w:p w14:paraId="08AF36BE"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Average volume at best bid and offer</w:t>
            </w:r>
          </w:p>
        </w:tc>
        <w:tc>
          <w:tcPr>
            <w:tcW w:w="1760" w:type="dxa"/>
            <w:tcBorders>
              <w:top w:val="nil"/>
              <w:left w:val="nil"/>
              <w:bottom w:val="single" w:sz="4" w:space="0" w:color="auto"/>
              <w:right w:val="single" w:sz="8" w:space="0" w:color="auto"/>
            </w:tcBorders>
            <w:shd w:val="clear" w:color="auto" w:fill="auto"/>
            <w:hideMark/>
          </w:tcPr>
          <w:p w14:paraId="44D3C913" w14:textId="77777777" w:rsidR="00F37117" w:rsidRPr="00995AAB" w:rsidRDefault="00F37117" w:rsidP="007B4890">
            <w:pPr>
              <w:rPr>
                <w:rFonts w:ascii="Calibri" w:hAnsi="Calibri"/>
                <w:color w:val="FF0000"/>
                <w:sz w:val="16"/>
                <w:szCs w:val="16"/>
                <w:lang w:val="en-GB"/>
              </w:rPr>
            </w:pPr>
            <w:r w:rsidRPr="00995AAB">
              <w:rPr>
                <w:rFonts w:ascii="Calibri" w:hAnsi="Calibri"/>
                <w:color w:val="FF0000"/>
                <w:sz w:val="16"/>
                <w:szCs w:val="16"/>
                <w:lang w:val="en-GB"/>
              </w:rPr>
              <w:t>N/A</w:t>
            </w:r>
          </w:p>
        </w:tc>
      </w:tr>
      <w:tr w:rsidR="00F37117" w:rsidRPr="00080375" w14:paraId="19C62531" w14:textId="77777777" w:rsidTr="007B4890">
        <w:trPr>
          <w:trHeight w:val="320"/>
        </w:trPr>
        <w:tc>
          <w:tcPr>
            <w:tcW w:w="4200" w:type="dxa"/>
            <w:tcBorders>
              <w:top w:val="nil"/>
              <w:left w:val="single" w:sz="8" w:space="0" w:color="auto"/>
              <w:bottom w:val="single" w:sz="4" w:space="0" w:color="auto"/>
              <w:right w:val="single" w:sz="4" w:space="0" w:color="auto"/>
            </w:tcBorders>
            <w:shd w:val="clear" w:color="000000" w:fill="D9D9D9"/>
            <w:hideMark/>
          </w:tcPr>
          <w:p w14:paraId="22E52F74"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Average Spread at best bid and offer</w:t>
            </w:r>
          </w:p>
        </w:tc>
        <w:tc>
          <w:tcPr>
            <w:tcW w:w="1760" w:type="dxa"/>
            <w:tcBorders>
              <w:top w:val="nil"/>
              <w:left w:val="nil"/>
              <w:bottom w:val="single" w:sz="4" w:space="0" w:color="auto"/>
              <w:right w:val="single" w:sz="8" w:space="0" w:color="auto"/>
            </w:tcBorders>
            <w:shd w:val="clear" w:color="auto" w:fill="auto"/>
            <w:hideMark/>
          </w:tcPr>
          <w:p w14:paraId="4D5A3C3F" w14:textId="77777777" w:rsidR="00F37117" w:rsidRPr="00995AAB" w:rsidRDefault="00F37117" w:rsidP="007B4890">
            <w:pPr>
              <w:rPr>
                <w:rFonts w:ascii="Calibri" w:hAnsi="Calibri"/>
                <w:color w:val="FF0000"/>
                <w:sz w:val="16"/>
                <w:szCs w:val="16"/>
                <w:lang w:val="en-GB"/>
              </w:rPr>
            </w:pPr>
            <w:r w:rsidRPr="00995AAB">
              <w:rPr>
                <w:rFonts w:ascii="Calibri" w:hAnsi="Calibri"/>
                <w:color w:val="FF0000"/>
                <w:sz w:val="16"/>
                <w:szCs w:val="16"/>
                <w:lang w:val="en-GB"/>
              </w:rPr>
              <w:t>N/A</w:t>
            </w:r>
          </w:p>
        </w:tc>
      </w:tr>
      <w:tr w:rsidR="00F37117" w:rsidRPr="00080375" w14:paraId="08A3745F" w14:textId="77777777" w:rsidTr="007B4890">
        <w:trPr>
          <w:trHeight w:val="320"/>
        </w:trPr>
        <w:tc>
          <w:tcPr>
            <w:tcW w:w="4200" w:type="dxa"/>
            <w:tcBorders>
              <w:top w:val="nil"/>
              <w:left w:val="single" w:sz="8" w:space="0" w:color="auto"/>
              <w:bottom w:val="single" w:sz="4" w:space="0" w:color="auto"/>
              <w:right w:val="single" w:sz="4" w:space="0" w:color="auto"/>
            </w:tcBorders>
            <w:shd w:val="clear" w:color="000000" w:fill="D9D9D9"/>
            <w:hideMark/>
          </w:tcPr>
          <w:p w14:paraId="618D7648" w14:textId="77777777" w:rsidR="00F37117" w:rsidRPr="00995AAB" w:rsidRDefault="00F37117">
            <w:pPr>
              <w:rPr>
                <w:rFonts w:ascii="Calibri" w:hAnsi="Calibri"/>
                <w:color w:val="000000"/>
                <w:sz w:val="16"/>
                <w:szCs w:val="16"/>
                <w:lang w:val="en-GB"/>
              </w:rPr>
            </w:pPr>
            <w:r w:rsidRPr="00995AAB">
              <w:rPr>
                <w:rFonts w:ascii="Calibri" w:hAnsi="Calibri"/>
                <w:color w:val="000000"/>
                <w:sz w:val="16"/>
                <w:szCs w:val="16"/>
                <w:lang w:val="en-GB"/>
              </w:rPr>
              <w:t>Number of canc</w:t>
            </w:r>
            <w:r w:rsidR="0030262D" w:rsidRPr="00995AAB">
              <w:rPr>
                <w:rFonts w:ascii="Calibri" w:hAnsi="Calibri"/>
                <w:color w:val="000000"/>
                <w:sz w:val="16"/>
                <w:szCs w:val="16"/>
                <w:lang w:val="en-GB"/>
              </w:rPr>
              <w:t>e</w:t>
            </w:r>
            <w:r w:rsidRPr="00995AAB">
              <w:rPr>
                <w:rFonts w:ascii="Calibri" w:hAnsi="Calibri"/>
                <w:color w:val="000000"/>
                <w:sz w:val="16"/>
                <w:szCs w:val="16"/>
                <w:lang w:val="en-GB"/>
              </w:rPr>
              <w:t>llations at best bid and offer</w:t>
            </w:r>
          </w:p>
        </w:tc>
        <w:tc>
          <w:tcPr>
            <w:tcW w:w="1760" w:type="dxa"/>
            <w:tcBorders>
              <w:top w:val="nil"/>
              <w:left w:val="nil"/>
              <w:bottom w:val="single" w:sz="4" w:space="0" w:color="auto"/>
              <w:right w:val="single" w:sz="8" w:space="0" w:color="auto"/>
            </w:tcBorders>
            <w:shd w:val="clear" w:color="auto" w:fill="auto"/>
            <w:hideMark/>
          </w:tcPr>
          <w:p w14:paraId="0AFF8BD0" w14:textId="77777777" w:rsidR="00F37117" w:rsidRPr="00995AAB" w:rsidRDefault="00F37117" w:rsidP="007B4890">
            <w:pPr>
              <w:rPr>
                <w:rFonts w:ascii="Calibri" w:hAnsi="Calibri"/>
                <w:color w:val="FF0000"/>
                <w:sz w:val="16"/>
                <w:szCs w:val="16"/>
                <w:lang w:val="en-GB"/>
              </w:rPr>
            </w:pPr>
            <w:r w:rsidRPr="00995AAB">
              <w:rPr>
                <w:rFonts w:ascii="Calibri" w:hAnsi="Calibri"/>
                <w:color w:val="FF0000"/>
                <w:sz w:val="16"/>
                <w:szCs w:val="16"/>
                <w:lang w:val="en-GB"/>
              </w:rPr>
              <w:t>N/A</w:t>
            </w:r>
          </w:p>
        </w:tc>
      </w:tr>
      <w:tr w:rsidR="00F37117" w:rsidRPr="00080375" w14:paraId="73E93E38" w14:textId="77777777" w:rsidTr="007B4890">
        <w:trPr>
          <w:trHeight w:val="320"/>
        </w:trPr>
        <w:tc>
          <w:tcPr>
            <w:tcW w:w="4200" w:type="dxa"/>
            <w:tcBorders>
              <w:top w:val="nil"/>
              <w:left w:val="single" w:sz="8" w:space="0" w:color="auto"/>
              <w:bottom w:val="single" w:sz="4" w:space="0" w:color="auto"/>
              <w:right w:val="single" w:sz="4" w:space="0" w:color="auto"/>
            </w:tcBorders>
            <w:shd w:val="clear" w:color="000000" w:fill="D9D9D9"/>
            <w:hideMark/>
          </w:tcPr>
          <w:p w14:paraId="01B410C5"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 xml:space="preserve">Number of modifications at best bid and offer </w:t>
            </w:r>
          </w:p>
        </w:tc>
        <w:tc>
          <w:tcPr>
            <w:tcW w:w="1760" w:type="dxa"/>
            <w:tcBorders>
              <w:top w:val="nil"/>
              <w:left w:val="nil"/>
              <w:bottom w:val="single" w:sz="4" w:space="0" w:color="auto"/>
              <w:right w:val="single" w:sz="8" w:space="0" w:color="auto"/>
            </w:tcBorders>
            <w:shd w:val="clear" w:color="auto" w:fill="auto"/>
            <w:hideMark/>
          </w:tcPr>
          <w:p w14:paraId="73F40824" w14:textId="77777777" w:rsidR="00F37117" w:rsidRPr="00995AAB" w:rsidRDefault="00F37117" w:rsidP="007B4890">
            <w:pPr>
              <w:rPr>
                <w:rFonts w:ascii="Calibri" w:hAnsi="Calibri"/>
                <w:color w:val="FF0000"/>
                <w:sz w:val="16"/>
                <w:szCs w:val="16"/>
                <w:lang w:val="en-GB"/>
              </w:rPr>
            </w:pPr>
            <w:r w:rsidRPr="00995AAB">
              <w:rPr>
                <w:rFonts w:ascii="Calibri" w:hAnsi="Calibri"/>
                <w:color w:val="FF0000"/>
                <w:sz w:val="16"/>
                <w:szCs w:val="16"/>
                <w:lang w:val="en-GB"/>
              </w:rPr>
              <w:t>N/A</w:t>
            </w:r>
          </w:p>
        </w:tc>
      </w:tr>
      <w:tr w:rsidR="00F37117" w:rsidRPr="00080375" w14:paraId="06434B73" w14:textId="77777777" w:rsidTr="007B4890">
        <w:trPr>
          <w:trHeight w:val="320"/>
        </w:trPr>
        <w:tc>
          <w:tcPr>
            <w:tcW w:w="4200" w:type="dxa"/>
            <w:tcBorders>
              <w:top w:val="nil"/>
              <w:left w:val="single" w:sz="8" w:space="0" w:color="auto"/>
              <w:bottom w:val="single" w:sz="4" w:space="0" w:color="auto"/>
              <w:right w:val="single" w:sz="4" w:space="0" w:color="auto"/>
            </w:tcBorders>
            <w:shd w:val="clear" w:color="000000" w:fill="D9D9D9"/>
            <w:hideMark/>
          </w:tcPr>
          <w:p w14:paraId="5604E5E6"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Average book depth at 3 price increments</w:t>
            </w:r>
          </w:p>
        </w:tc>
        <w:tc>
          <w:tcPr>
            <w:tcW w:w="1760" w:type="dxa"/>
            <w:tcBorders>
              <w:top w:val="nil"/>
              <w:left w:val="nil"/>
              <w:bottom w:val="single" w:sz="4" w:space="0" w:color="auto"/>
              <w:right w:val="single" w:sz="8" w:space="0" w:color="auto"/>
            </w:tcBorders>
            <w:shd w:val="clear" w:color="auto" w:fill="auto"/>
            <w:hideMark/>
          </w:tcPr>
          <w:p w14:paraId="14F496A1" w14:textId="77777777" w:rsidR="00F37117" w:rsidRPr="00995AAB" w:rsidRDefault="00F37117" w:rsidP="007B4890">
            <w:pPr>
              <w:rPr>
                <w:rFonts w:ascii="Calibri" w:hAnsi="Calibri"/>
                <w:color w:val="FF0000"/>
                <w:sz w:val="16"/>
                <w:szCs w:val="16"/>
                <w:lang w:val="en-GB"/>
              </w:rPr>
            </w:pPr>
            <w:r w:rsidRPr="00995AAB">
              <w:rPr>
                <w:rFonts w:ascii="Calibri" w:hAnsi="Calibri"/>
                <w:color w:val="FF0000"/>
                <w:sz w:val="16"/>
                <w:szCs w:val="16"/>
                <w:lang w:val="en-GB"/>
              </w:rPr>
              <w:t>N/A</w:t>
            </w:r>
          </w:p>
        </w:tc>
      </w:tr>
      <w:tr w:rsidR="00F37117" w:rsidRPr="00080375" w14:paraId="112C8BC9" w14:textId="77777777" w:rsidTr="007B4890">
        <w:trPr>
          <w:trHeight w:val="880"/>
        </w:trPr>
        <w:tc>
          <w:tcPr>
            <w:tcW w:w="4200" w:type="dxa"/>
            <w:tcBorders>
              <w:top w:val="nil"/>
              <w:left w:val="single" w:sz="8" w:space="0" w:color="auto"/>
              <w:bottom w:val="single" w:sz="4" w:space="0" w:color="auto"/>
              <w:right w:val="single" w:sz="4" w:space="0" w:color="auto"/>
            </w:tcBorders>
            <w:shd w:val="clear" w:color="000000" w:fill="D9D9D9"/>
            <w:hideMark/>
          </w:tcPr>
          <w:p w14:paraId="5EB22DA7"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lastRenderedPageBreak/>
              <w:t>Mean time elapsed (to the mili-second)</w:t>
            </w:r>
            <w:r w:rsidRPr="00995AAB">
              <w:rPr>
                <w:rFonts w:ascii="Calibri" w:hAnsi="Calibri"/>
                <w:color w:val="000000"/>
                <w:sz w:val="16"/>
                <w:szCs w:val="16"/>
                <w:lang w:val="en-GB"/>
              </w:rPr>
              <w:br/>
              <w:t>between an aggressive order or quote acceptance being received by the execution venue and the subsequent total or partial execution</w:t>
            </w:r>
          </w:p>
        </w:tc>
        <w:tc>
          <w:tcPr>
            <w:tcW w:w="1760" w:type="dxa"/>
            <w:tcBorders>
              <w:top w:val="nil"/>
              <w:left w:val="nil"/>
              <w:bottom w:val="single" w:sz="4" w:space="0" w:color="auto"/>
              <w:right w:val="single" w:sz="8" w:space="0" w:color="auto"/>
            </w:tcBorders>
            <w:shd w:val="clear" w:color="auto" w:fill="auto"/>
            <w:hideMark/>
          </w:tcPr>
          <w:p w14:paraId="748E4651" w14:textId="77777777" w:rsidR="00F37117" w:rsidRPr="00995AAB" w:rsidRDefault="00F37117" w:rsidP="007B4890">
            <w:pPr>
              <w:rPr>
                <w:rFonts w:ascii="Calibri" w:hAnsi="Calibri"/>
                <w:color w:val="FF0000"/>
                <w:sz w:val="16"/>
                <w:szCs w:val="16"/>
                <w:lang w:val="en-GB"/>
              </w:rPr>
            </w:pPr>
            <w:r w:rsidRPr="00995AAB">
              <w:rPr>
                <w:rFonts w:ascii="Calibri" w:hAnsi="Calibri"/>
                <w:color w:val="FF0000"/>
                <w:sz w:val="16"/>
                <w:szCs w:val="16"/>
                <w:lang w:val="en-GB"/>
              </w:rPr>
              <w:t>N/A</w:t>
            </w:r>
          </w:p>
        </w:tc>
      </w:tr>
      <w:tr w:rsidR="00F37117" w:rsidRPr="00080375" w14:paraId="7E8AD5D1" w14:textId="77777777" w:rsidTr="007B4890">
        <w:trPr>
          <w:trHeight w:val="660"/>
        </w:trPr>
        <w:tc>
          <w:tcPr>
            <w:tcW w:w="4200" w:type="dxa"/>
            <w:tcBorders>
              <w:top w:val="nil"/>
              <w:left w:val="single" w:sz="8" w:space="0" w:color="auto"/>
              <w:bottom w:val="single" w:sz="4" w:space="0" w:color="auto"/>
              <w:right w:val="single" w:sz="4" w:space="0" w:color="auto"/>
            </w:tcBorders>
            <w:shd w:val="clear" w:color="000000" w:fill="D9D9D9"/>
            <w:hideMark/>
          </w:tcPr>
          <w:p w14:paraId="74FB6952"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Median time elapsed (to the mili-second) between a market order being received by the execution venue and the subsequent total or partial execution</w:t>
            </w:r>
          </w:p>
        </w:tc>
        <w:tc>
          <w:tcPr>
            <w:tcW w:w="1760" w:type="dxa"/>
            <w:tcBorders>
              <w:top w:val="nil"/>
              <w:left w:val="nil"/>
              <w:bottom w:val="single" w:sz="4" w:space="0" w:color="auto"/>
              <w:right w:val="single" w:sz="8" w:space="0" w:color="auto"/>
            </w:tcBorders>
            <w:shd w:val="clear" w:color="auto" w:fill="auto"/>
            <w:hideMark/>
          </w:tcPr>
          <w:p w14:paraId="6C045DAE" w14:textId="77777777" w:rsidR="00F37117" w:rsidRPr="00995AAB" w:rsidRDefault="00F37117" w:rsidP="007B4890">
            <w:pPr>
              <w:rPr>
                <w:rFonts w:ascii="Calibri" w:hAnsi="Calibri"/>
                <w:color w:val="FF0000"/>
                <w:sz w:val="16"/>
                <w:szCs w:val="16"/>
                <w:lang w:val="en-GB"/>
              </w:rPr>
            </w:pPr>
            <w:r w:rsidRPr="00995AAB">
              <w:rPr>
                <w:rFonts w:ascii="Calibri" w:hAnsi="Calibri"/>
                <w:color w:val="FF0000"/>
                <w:sz w:val="16"/>
                <w:szCs w:val="16"/>
                <w:lang w:val="en-GB"/>
              </w:rPr>
              <w:t>N/A</w:t>
            </w:r>
          </w:p>
        </w:tc>
      </w:tr>
      <w:tr w:rsidR="00F37117" w:rsidRPr="00080375" w14:paraId="3A821197" w14:textId="77777777" w:rsidTr="007B4890">
        <w:trPr>
          <w:trHeight w:val="440"/>
        </w:trPr>
        <w:tc>
          <w:tcPr>
            <w:tcW w:w="4200" w:type="dxa"/>
            <w:tcBorders>
              <w:top w:val="nil"/>
              <w:left w:val="single" w:sz="8" w:space="0" w:color="auto"/>
              <w:bottom w:val="single" w:sz="4" w:space="0" w:color="auto"/>
              <w:right w:val="single" w:sz="4" w:space="0" w:color="auto"/>
            </w:tcBorders>
            <w:shd w:val="clear" w:color="000000" w:fill="D9D9D9"/>
            <w:hideMark/>
          </w:tcPr>
          <w:p w14:paraId="2F39ABA3"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Average speed of execution for unmodified passive orders at best bid and offer</w:t>
            </w:r>
          </w:p>
        </w:tc>
        <w:tc>
          <w:tcPr>
            <w:tcW w:w="1760" w:type="dxa"/>
            <w:tcBorders>
              <w:top w:val="nil"/>
              <w:left w:val="nil"/>
              <w:bottom w:val="single" w:sz="4" w:space="0" w:color="auto"/>
              <w:right w:val="single" w:sz="8" w:space="0" w:color="auto"/>
            </w:tcBorders>
            <w:shd w:val="clear" w:color="auto" w:fill="auto"/>
            <w:hideMark/>
          </w:tcPr>
          <w:p w14:paraId="527A57AB" w14:textId="77777777" w:rsidR="00F37117" w:rsidRPr="00995AAB" w:rsidRDefault="00F37117" w:rsidP="007B4890">
            <w:pPr>
              <w:rPr>
                <w:rFonts w:ascii="Calibri" w:hAnsi="Calibri"/>
                <w:color w:val="FF0000"/>
                <w:sz w:val="16"/>
                <w:szCs w:val="16"/>
                <w:lang w:val="en-GB"/>
              </w:rPr>
            </w:pPr>
            <w:r w:rsidRPr="00995AAB">
              <w:rPr>
                <w:rFonts w:ascii="Calibri" w:hAnsi="Calibri"/>
                <w:color w:val="FF0000"/>
                <w:sz w:val="16"/>
                <w:szCs w:val="16"/>
                <w:lang w:val="en-GB"/>
              </w:rPr>
              <w:t>N/A</w:t>
            </w:r>
          </w:p>
        </w:tc>
      </w:tr>
      <w:tr w:rsidR="00F37117" w:rsidRPr="00080375" w14:paraId="556FBB48" w14:textId="77777777" w:rsidTr="007B4890">
        <w:trPr>
          <w:trHeight w:val="320"/>
        </w:trPr>
        <w:tc>
          <w:tcPr>
            <w:tcW w:w="4200" w:type="dxa"/>
            <w:tcBorders>
              <w:top w:val="nil"/>
              <w:left w:val="single" w:sz="8" w:space="0" w:color="auto"/>
              <w:bottom w:val="single" w:sz="4" w:space="0" w:color="auto"/>
              <w:right w:val="single" w:sz="4" w:space="0" w:color="auto"/>
            </w:tcBorders>
            <w:shd w:val="clear" w:color="000000" w:fill="D9D9D9"/>
            <w:hideMark/>
          </w:tcPr>
          <w:p w14:paraId="2AE998DC"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Number of Fill or Kill orders that failed</w:t>
            </w:r>
          </w:p>
        </w:tc>
        <w:tc>
          <w:tcPr>
            <w:tcW w:w="1760" w:type="dxa"/>
            <w:tcBorders>
              <w:top w:val="nil"/>
              <w:left w:val="nil"/>
              <w:bottom w:val="single" w:sz="4" w:space="0" w:color="auto"/>
              <w:right w:val="single" w:sz="8" w:space="0" w:color="auto"/>
            </w:tcBorders>
            <w:shd w:val="clear" w:color="auto" w:fill="auto"/>
            <w:hideMark/>
          </w:tcPr>
          <w:p w14:paraId="5E9A02F1" w14:textId="77777777" w:rsidR="00F37117" w:rsidRPr="00995AAB" w:rsidRDefault="00F37117" w:rsidP="007B4890">
            <w:pPr>
              <w:rPr>
                <w:rFonts w:ascii="Calibri" w:hAnsi="Calibri"/>
                <w:color w:val="FF0000"/>
                <w:sz w:val="16"/>
                <w:szCs w:val="16"/>
                <w:lang w:val="en-GB"/>
              </w:rPr>
            </w:pPr>
            <w:r w:rsidRPr="00995AAB">
              <w:rPr>
                <w:rFonts w:ascii="Calibri" w:hAnsi="Calibri"/>
                <w:color w:val="FF0000"/>
                <w:sz w:val="16"/>
                <w:szCs w:val="16"/>
                <w:lang w:val="en-GB"/>
              </w:rPr>
              <w:t>N/A</w:t>
            </w:r>
          </w:p>
        </w:tc>
      </w:tr>
      <w:tr w:rsidR="00F37117" w:rsidRPr="00080375" w14:paraId="5CB72D51" w14:textId="77777777" w:rsidTr="007B4890">
        <w:trPr>
          <w:trHeight w:val="320"/>
        </w:trPr>
        <w:tc>
          <w:tcPr>
            <w:tcW w:w="4200" w:type="dxa"/>
            <w:tcBorders>
              <w:top w:val="nil"/>
              <w:left w:val="single" w:sz="8" w:space="0" w:color="auto"/>
              <w:bottom w:val="single" w:sz="4" w:space="0" w:color="auto"/>
              <w:right w:val="single" w:sz="4" w:space="0" w:color="auto"/>
            </w:tcBorders>
            <w:shd w:val="clear" w:color="000000" w:fill="D9D9D9"/>
            <w:hideMark/>
          </w:tcPr>
          <w:p w14:paraId="3A7089EE"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Number of Immediate or Cancel orders that got zero fill</w:t>
            </w:r>
          </w:p>
        </w:tc>
        <w:tc>
          <w:tcPr>
            <w:tcW w:w="1760" w:type="dxa"/>
            <w:tcBorders>
              <w:top w:val="nil"/>
              <w:left w:val="nil"/>
              <w:bottom w:val="single" w:sz="4" w:space="0" w:color="auto"/>
              <w:right w:val="single" w:sz="8" w:space="0" w:color="auto"/>
            </w:tcBorders>
            <w:shd w:val="clear" w:color="auto" w:fill="auto"/>
            <w:hideMark/>
          </w:tcPr>
          <w:p w14:paraId="0A6841F6" w14:textId="77777777" w:rsidR="00F37117" w:rsidRPr="00995AAB" w:rsidRDefault="00F37117" w:rsidP="007B4890">
            <w:pPr>
              <w:rPr>
                <w:rFonts w:ascii="Calibri" w:hAnsi="Calibri"/>
                <w:color w:val="FF0000"/>
                <w:sz w:val="16"/>
                <w:szCs w:val="16"/>
                <w:lang w:val="en-GB"/>
              </w:rPr>
            </w:pPr>
            <w:r w:rsidRPr="00995AAB">
              <w:rPr>
                <w:rFonts w:ascii="Calibri" w:hAnsi="Calibri"/>
                <w:color w:val="FF0000"/>
                <w:sz w:val="16"/>
                <w:szCs w:val="16"/>
                <w:lang w:val="en-GB"/>
              </w:rPr>
              <w:t>N/A</w:t>
            </w:r>
          </w:p>
        </w:tc>
      </w:tr>
      <w:tr w:rsidR="00F37117" w:rsidRPr="00080375" w14:paraId="1383AF8D" w14:textId="77777777" w:rsidTr="007B4890">
        <w:trPr>
          <w:trHeight w:val="660"/>
        </w:trPr>
        <w:tc>
          <w:tcPr>
            <w:tcW w:w="4200" w:type="dxa"/>
            <w:tcBorders>
              <w:top w:val="nil"/>
              <w:left w:val="single" w:sz="8" w:space="0" w:color="auto"/>
              <w:bottom w:val="single" w:sz="4" w:space="0" w:color="auto"/>
              <w:right w:val="single" w:sz="4" w:space="0" w:color="auto"/>
            </w:tcBorders>
            <w:shd w:val="clear" w:color="000000" w:fill="D9D9D9"/>
            <w:hideMark/>
          </w:tcPr>
          <w:p w14:paraId="7A526A0B"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Number of transactions executed on the trading venue that are Large in Scale pursuant to Article 4 or 9 of Regulation (EU) No 600/2014</w:t>
            </w:r>
          </w:p>
        </w:tc>
        <w:tc>
          <w:tcPr>
            <w:tcW w:w="1760" w:type="dxa"/>
            <w:tcBorders>
              <w:top w:val="nil"/>
              <w:left w:val="nil"/>
              <w:bottom w:val="single" w:sz="4" w:space="0" w:color="auto"/>
              <w:right w:val="single" w:sz="8" w:space="0" w:color="auto"/>
            </w:tcBorders>
            <w:shd w:val="clear" w:color="auto" w:fill="auto"/>
            <w:hideMark/>
          </w:tcPr>
          <w:p w14:paraId="46BB1E3C" w14:textId="77777777" w:rsidR="00F37117" w:rsidRPr="00995AAB" w:rsidRDefault="00F37117" w:rsidP="007B4890">
            <w:pPr>
              <w:rPr>
                <w:rFonts w:ascii="Calibri" w:hAnsi="Calibri"/>
                <w:color w:val="FF0000"/>
                <w:sz w:val="16"/>
                <w:szCs w:val="16"/>
                <w:lang w:val="en-GB"/>
              </w:rPr>
            </w:pPr>
            <w:r w:rsidRPr="00995AAB">
              <w:rPr>
                <w:rFonts w:ascii="Calibri" w:hAnsi="Calibri"/>
                <w:color w:val="FF0000"/>
                <w:sz w:val="16"/>
                <w:szCs w:val="16"/>
                <w:lang w:val="en-GB"/>
              </w:rPr>
              <w:t>N/A</w:t>
            </w:r>
          </w:p>
        </w:tc>
      </w:tr>
      <w:tr w:rsidR="00F37117" w:rsidRPr="00080375" w14:paraId="293561AA" w14:textId="77777777" w:rsidTr="007B4890">
        <w:trPr>
          <w:trHeight w:val="660"/>
        </w:trPr>
        <w:tc>
          <w:tcPr>
            <w:tcW w:w="4200" w:type="dxa"/>
            <w:tcBorders>
              <w:top w:val="nil"/>
              <w:left w:val="single" w:sz="8" w:space="0" w:color="auto"/>
              <w:bottom w:val="single" w:sz="4" w:space="0" w:color="auto"/>
              <w:right w:val="single" w:sz="4" w:space="0" w:color="auto"/>
            </w:tcBorders>
            <w:shd w:val="clear" w:color="000000" w:fill="D9D9D9"/>
            <w:hideMark/>
          </w:tcPr>
          <w:p w14:paraId="3DF28033"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Value of transactions executed on the trading venue that are Large in Scale pursuant to Article 4 or 9 of Regulation (EU) No 600/2014</w:t>
            </w:r>
          </w:p>
        </w:tc>
        <w:tc>
          <w:tcPr>
            <w:tcW w:w="1760" w:type="dxa"/>
            <w:tcBorders>
              <w:top w:val="nil"/>
              <w:left w:val="nil"/>
              <w:bottom w:val="single" w:sz="4" w:space="0" w:color="auto"/>
              <w:right w:val="single" w:sz="8" w:space="0" w:color="auto"/>
            </w:tcBorders>
            <w:shd w:val="clear" w:color="auto" w:fill="auto"/>
            <w:hideMark/>
          </w:tcPr>
          <w:p w14:paraId="1B2D056A" w14:textId="77777777" w:rsidR="00F37117" w:rsidRPr="00995AAB" w:rsidRDefault="00F37117" w:rsidP="007B4890">
            <w:pPr>
              <w:rPr>
                <w:rFonts w:ascii="Calibri" w:hAnsi="Calibri"/>
                <w:color w:val="FF0000"/>
                <w:sz w:val="16"/>
                <w:szCs w:val="16"/>
                <w:lang w:val="en-GB"/>
              </w:rPr>
            </w:pPr>
            <w:r w:rsidRPr="00995AAB">
              <w:rPr>
                <w:rFonts w:ascii="Calibri" w:hAnsi="Calibri"/>
                <w:color w:val="FF0000"/>
                <w:sz w:val="16"/>
                <w:szCs w:val="16"/>
                <w:lang w:val="en-GB"/>
              </w:rPr>
              <w:t>N/A</w:t>
            </w:r>
          </w:p>
        </w:tc>
      </w:tr>
      <w:tr w:rsidR="00F37117" w:rsidRPr="00080375" w14:paraId="2436E047" w14:textId="77777777" w:rsidTr="007B4890">
        <w:trPr>
          <w:trHeight w:val="880"/>
        </w:trPr>
        <w:tc>
          <w:tcPr>
            <w:tcW w:w="4200" w:type="dxa"/>
            <w:tcBorders>
              <w:top w:val="nil"/>
              <w:left w:val="single" w:sz="8" w:space="0" w:color="auto"/>
              <w:bottom w:val="single" w:sz="4" w:space="0" w:color="auto"/>
              <w:right w:val="single" w:sz="4" w:space="0" w:color="auto"/>
            </w:tcBorders>
            <w:shd w:val="clear" w:color="000000" w:fill="D9D9D9"/>
            <w:hideMark/>
          </w:tcPr>
          <w:p w14:paraId="7FF08C66" w14:textId="77777777" w:rsidR="00F37117" w:rsidRPr="00995AAB" w:rsidRDefault="00F37117" w:rsidP="007B4890">
            <w:pPr>
              <w:rPr>
                <w:rFonts w:ascii="Calibri" w:hAnsi="Calibri"/>
                <w:color w:val="000000"/>
                <w:sz w:val="16"/>
                <w:szCs w:val="16"/>
                <w:lang w:val="en-GB"/>
              </w:rPr>
            </w:pPr>
            <w:r w:rsidRPr="00995AAB">
              <w:rPr>
                <w:rFonts w:ascii="Calibri" w:hAnsi="Calibri"/>
                <w:color w:val="000000"/>
                <w:sz w:val="16"/>
                <w:szCs w:val="16"/>
                <w:lang w:val="en-GB"/>
              </w:rPr>
              <w:t>Number of transactions that were executed on</w:t>
            </w:r>
            <w:r w:rsidRPr="00995AAB">
              <w:rPr>
                <w:rFonts w:ascii="Calibri" w:hAnsi="Calibri"/>
                <w:color w:val="000000"/>
                <w:sz w:val="16"/>
                <w:szCs w:val="16"/>
                <w:lang w:val="en-GB"/>
              </w:rPr>
              <w:br/>
              <w:t>the trading venue pursuant to Article 4 or 9 of MiFIR, except for orders that are held in an order management facility of the trading venue pending disclosure and not Large in Scale</w:t>
            </w:r>
          </w:p>
        </w:tc>
        <w:tc>
          <w:tcPr>
            <w:tcW w:w="1760" w:type="dxa"/>
            <w:tcBorders>
              <w:top w:val="nil"/>
              <w:left w:val="nil"/>
              <w:bottom w:val="single" w:sz="4" w:space="0" w:color="auto"/>
              <w:right w:val="single" w:sz="8" w:space="0" w:color="auto"/>
            </w:tcBorders>
            <w:shd w:val="clear" w:color="auto" w:fill="auto"/>
            <w:hideMark/>
          </w:tcPr>
          <w:p w14:paraId="4A47167F" w14:textId="77777777" w:rsidR="00F37117" w:rsidRPr="00995AAB" w:rsidRDefault="00F37117" w:rsidP="007B4890">
            <w:pPr>
              <w:rPr>
                <w:rFonts w:ascii="Calibri" w:hAnsi="Calibri"/>
                <w:color w:val="FF0000"/>
                <w:sz w:val="16"/>
                <w:szCs w:val="16"/>
                <w:lang w:val="en-GB"/>
              </w:rPr>
            </w:pPr>
            <w:r w:rsidRPr="00995AAB">
              <w:rPr>
                <w:rFonts w:ascii="Calibri" w:hAnsi="Calibri"/>
                <w:color w:val="FF0000"/>
                <w:sz w:val="16"/>
                <w:szCs w:val="16"/>
                <w:lang w:val="en-GB"/>
              </w:rPr>
              <w:t>N/A</w:t>
            </w:r>
          </w:p>
        </w:tc>
      </w:tr>
      <w:tr w:rsidR="00F37117" w:rsidRPr="003011B1" w14:paraId="4A7A2C4B" w14:textId="77777777" w:rsidTr="007B4890">
        <w:trPr>
          <w:trHeight w:val="880"/>
        </w:trPr>
        <w:tc>
          <w:tcPr>
            <w:tcW w:w="4200" w:type="dxa"/>
            <w:tcBorders>
              <w:top w:val="nil"/>
              <w:left w:val="single" w:sz="8" w:space="0" w:color="auto"/>
              <w:bottom w:val="single" w:sz="4" w:space="0" w:color="auto"/>
              <w:right w:val="single" w:sz="4" w:space="0" w:color="auto"/>
            </w:tcBorders>
            <w:shd w:val="clear" w:color="000000" w:fill="D9D9D9"/>
            <w:hideMark/>
          </w:tcPr>
          <w:p w14:paraId="6846CAF9" w14:textId="77777777" w:rsidR="00F37117" w:rsidRPr="003011B1" w:rsidRDefault="00F37117" w:rsidP="007B4890">
            <w:pPr>
              <w:rPr>
                <w:rFonts w:ascii="Calibri" w:hAnsi="Calibri"/>
                <w:color w:val="000000"/>
                <w:sz w:val="16"/>
                <w:szCs w:val="16"/>
                <w:lang w:val="en-GB"/>
              </w:rPr>
            </w:pPr>
            <w:r w:rsidRPr="003011B1">
              <w:rPr>
                <w:rFonts w:ascii="Calibri" w:hAnsi="Calibri"/>
                <w:color w:val="000000"/>
                <w:sz w:val="16"/>
                <w:szCs w:val="16"/>
                <w:lang w:val="en-GB"/>
              </w:rPr>
              <w:t>Value of transactions that were executed on the trading venue pursuant to Article 4 or 9 of MiFIR, except for orders that are held in an order management facility of the trading venue pending disclosure and not Large in Scale</w:t>
            </w:r>
          </w:p>
        </w:tc>
        <w:tc>
          <w:tcPr>
            <w:tcW w:w="1760" w:type="dxa"/>
            <w:tcBorders>
              <w:top w:val="nil"/>
              <w:left w:val="nil"/>
              <w:bottom w:val="single" w:sz="4" w:space="0" w:color="auto"/>
              <w:right w:val="single" w:sz="8" w:space="0" w:color="auto"/>
            </w:tcBorders>
            <w:shd w:val="clear" w:color="auto" w:fill="auto"/>
            <w:hideMark/>
          </w:tcPr>
          <w:p w14:paraId="7EE5A1B9" w14:textId="77777777" w:rsidR="00F37117" w:rsidRPr="003011B1" w:rsidRDefault="00F37117" w:rsidP="007B4890">
            <w:pPr>
              <w:rPr>
                <w:rFonts w:ascii="Calibri" w:hAnsi="Calibri"/>
                <w:color w:val="FF0000"/>
                <w:sz w:val="16"/>
                <w:szCs w:val="16"/>
                <w:lang w:val="en-GB"/>
              </w:rPr>
            </w:pPr>
            <w:r w:rsidRPr="003011B1">
              <w:rPr>
                <w:rFonts w:ascii="Calibri" w:hAnsi="Calibri"/>
                <w:color w:val="FF0000"/>
                <w:sz w:val="16"/>
                <w:szCs w:val="16"/>
                <w:lang w:val="en-GB"/>
              </w:rPr>
              <w:t>N/A</w:t>
            </w:r>
          </w:p>
        </w:tc>
      </w:tr>
      <w:tr w:rsidR="00F37117" w:rsidRPr="003011B1" w14:paraId="4C5F0847" w14:textId="77777777" w:rsidTr="007B4890">
        <w:trPr>
          <w:trHeight w:val="320"/>
        </w:trPr>
        <w:tc>
          <w:tcPr>
            <w:tcW w:w="4200" w:type="dxa"/>
            <w:tcBorders>
              <w:top w:val="nil"/>
              <w:left w:val="single" w:sz="8" w:space="0" w:color="auto"/>
              <w:bottom w:val="single" w:sz="4" w:space="0" w:color="auto"/>
              <w:right w:val="single" w:sz="4" w:space="0" w:color="auto"/>
            </w:tcBorders>
            <w:shd w:val="clear" w:color="000000" w:fill="D9D9D9"/>
            <w:hideMark/>
          </w:tcPr>
          <w:p w14:paraId="4C021D46" w14:textId="77777777" w:rsidR="00F37117" w:rsidRPr="003011B1" w:rsidRDefault="00F37117" w:rsidP="007B4890">
            <w:pPr>
              <w:rPr>
                <w:rFonts w:ascii="Calibri" w:hAnsi="Calibri"/>
                <w:color w:val="000000"/>
                <w:sz w:val="16"/>
                <w:szCs w:val="16"/>
                <w:lang w:val="en-GB"/>
              </w:rPr>
            </w:pPr>
            <w:r w:rsidRPr="003011B1">
              <w:rPr>
                <w:rFonts w:ascii="Calibri" w:hAnsi="Calibri"/>
                <w:color w:val="000000"/>
                <w:sz w:val="16"/>
                <w:szCs w:val="16"/>
                <w:lang w:val="en-GB"/>
              </w:rPr>
              <w:t>Number of trading interruptions</w:t>
            </w:r>
          </w:p>
        </w:tc>
        <w:tc>
          <w:tcPr>
            <w:tcW w:w="1760" w:type="dxa"/>
            <w:tcBorders>
              <w:top w:val="nil"/>
              <w:left w:val="nil"/>
              <w:bottom w:val="single" w:sz="4" w:space="0" w:color="auto"/>
              <w:right w:val="single" w:sz="8" w:space="0" w:color="auto"/>
            </w:tcBorders>
            <w:shd w:val="clear" w:color="auto" w:fill="auto"/>
            <w:hideMark/>
          </w:tcPr>
          <w:p w14:paraId="0829F314" w14:textId="77777777" w:rsidR="00F37117" w:rsidRPr="003011B1" w:rsidRDefault="00F37117" w:rsidP="007B4890">
            <w:pPr>
              <w:rPr>
                <w:rFonts w:ascii="Calibri" w:hAnsi="Calibri"/>
                <w:color w:val="FF0000"/>
                <w:sz w:val="16"/>
                <w:szCs w:val="16"/>
                <w:lang w:val="en-GB"/>
              </w:rPr>
            </w:pPr>
            <w:r w:rsidRPr="003011B1">
              <w:rPr>
                <w:rFonts w:ascii="Calibri" w:hAnsi="Calibri"/>
                <w:color w:val="FF0000"/>
                <w:sz w:val="16"/>
                <w:szCs w:val="16"/>
                <w:lang w:val="en-GB"/>
              </w:rPr>
              <w:t>8p)</w:t>
            </w:r>
          </w:p>
        </w:tc>
      </w:tr>
      <w:tr w:rsidR="00F37117" w:rsidRPr="003011B1" w14:paraId="469353B9" w14:textId="77777777" w:rsidTr="007B4890">
        <w:trPr>
          <w:trHeight w:val="320"/>
        </w:trPr>
        <w:tc>
          <w:tcPr>
            <w:tcW w:w="4200" w:type="dxa"/>
            <w:tcBorders>
              <w:top w:val="nil"/>
              <w:left w:val="single" w:sz="8" w:space="0" w:color="auto"/>
              <w:bottom w:val="single" w:sz="4" w:space="0" w:color="auto"/>
              <w:right w:val="single" w:sz="4" w:space="0" w:color="auto"/>
            </w:tcBorders>
            <w:shd w:val="clear" w:color="000000" w:fill="D9D9D9"/>
            <w:hideMark/>
          </w:tcPr>
          <w:p w14:paraId="74CD669A" w14:textId="77777777" w:rsidR="00F37117" w:rsidRPr="003011B1" w:rsidRDefault="00F37117" w:rsidP="007B4890">
            <w:pPr>
              <w:rPr>
                <w:rFonts w:ascii="Calibri" w:hAnsi="Calibri"/>
                <w:color w:val="000000"/>
                <w:sz w:val="16"/>
                <w:szCs w:val="16"/>
                <w:lang w:val="en-GB"/>
              </w:rPr>
            </w:pPr>
            <w:r w:rsidRPr="003011B1">
              <w:rPr>
                <w:rFonts w:ascii="Calibri" w:hAnsi="Calibri"/>
                <w:color w:val="000000"/>
                <w:sz w:val="16"/>
                <w:szCs w:val="16"/>
                <w:lang w:val="en-GB"/>
              </w:rPr>
              <w:t>Average duration of trading interruptions</w:t>
            </w:r>
          </w:p>
        </w:tc>
        <w:tc>
          <w:tcPr>
            <w:tcW w:w="1760" w:type="dxa"/>
            <w:tcBorders>
              <w:top w:val="nil"/>
              <w:left w:val="nil"/>
              <w:bottom w:val="single" w:sz="4" w:space="0" w:color="auto"/>
              <w:right w:val="single" w:sz="8" w:space="0" w:color="auto"/>
            </w:tcBorders>
            <w:shd w:val="clear" w:color="auto" w:fill="auto"/>
            <w:hideMark/>
          </w:tcPr>
          <w:p w14:paraId="06E627D9" w14:textId="77777777" w:rsidR="00F37117" w:rsidRPr="003011B1" w:rsidRDefault="00F37117" w:rsidP="007B4890">
            <w:pPr>
              <w:rPr>
                <w:rFonts w:ascii="Calibri" w:hAnsi="Calibri"/>
                <w:color w:val="FF0000"/>
                <w:sz w:val="16"/>
                <w:szCs w:val="16"/>
                <w:lang w:val="en-GB"/>
              </w:rPr>
            </w:pPr>
            <w:r w:rsidRPr="003011B1">
              <w:rPr>
                <w:rFonts w:ascii="Calibri" w:hAnsi="Calibri"/>
                <w:color w:val="FF0000"/>
                <w:sz w:val="16"/>
                <w:szCs w:val="16"/>
                <w:lang w:val="en-GB"/>
              </w:rPr>
              <w:t>8q)</w:t>
            </w:r>
          </w:p>
        </w:tc>
      </w:tr>
      <w:tr w:rsidR="00F37117" w:rsidRPr="003011B1" w14:paraId="3CBFB9F8" w14:textId="77777777" w:rsidTr="007B4890">
        <w:trPr>
          <w:trHeight w:val="320"/>
        </w:trPr>
        <w:tc>
          <w:tcPr>
            <w:tcW w:w="4200" w:type="dxa"/>
            <w:tcBorders>
              <w:top w:val="nil"/>
              <w:left w:val="single" w:sz="8" w:space="0" w:color="auto"/>
              <w:bottom w:val="single" w:sz="4" w:space="0" w:color="auto"/>
              <w:right w:val="single" w:sz="4" w:space="0" w:color="auto"/>
            </w:tcBorders>
            <w:shd w:val="clear" w:color="000000" w:fill="D9D9D9"/>
            <w:hideMark/>
          </w:tcPr>
          <w:p w14:paraId="1CFFBA46" w14:textId="77777777" w:rsidR="00F37117" w:rsidRPr="003011B1" w:rsidRDefault="00F37117" w:rsidP="007B4890">
            <w:pPr>
              <w:rPr>
                <w:rFonts w:ascii="Calibri" w:hAnsi="Calibri"/>
                <w:color w:val="000000"/>
                <w:sz w:val="16"/>
                <w:szCs w:val="16"/>
                <w:lang w:val="en-GB"/>
              </w:rPr>
            </w:pPr>
            <w:r w:rsidRPr="003011B1">
              <w:rPr>
                <w:rFonts w:ascii="Calibri" w:hAnsi="Calibri"/>
                <w:color w:val="000000"/>
                <w:sz w:val="16"/>
                <w:szCs w:val="16"/>
                <w:lang w:val="en-GB"/>
              </w:rPr>
              <w:t>Number of suspensions</w:t>
            </w:r>
          </w:p>
        </w:tc>
        <w:tc>
          <w:tcPr>
            <w:tcW w:w="1760" w:type="dxa"/>
            <w:tcBorders>
              <w:top w:val="nil"/>
              <w:left w:val="nil"/>
              <w:bottom w:val="single" w:sz="4" w:space="0" w:color="auto"/>
              <w:right w:val="single" w:sz="8" w:space="0" w:color="auto"/>
            </w:tcBorders>
            <w:shd w:val="clear" w:color="auto" w:fill="auto"/>
            <w:hideMark/>
          </w:tcPr>
          <w:p w14:paraId="1999CFA5" w14:textId="77777777" w:rsidR="00F37117" w:rsidRPr="003011B1" w:rsidRDefault="00F37117" w:rsidP="007B4890">
            <w:pPr>
              <w:rPr>
                <w:rFonts w:ascii="Calibri" w:hAnsi="Calibri"/>
                <w:color w:val="FF0000"/>
                <w:sz w:val="16"/>
                <w:szCs w:val="16"/>
                <w:lang w:val="en-GB"/>
              </w:rPr>
            </w:pPr>
            <w:r w:rsidRPr="003011B1">
              <w:rPr>
                <w:rFonts w:ascii="Calibri" w:hAnsi="Calibri"/>
                <w:color w:val="FF0000"/>
                <w:sz w:val="16"/>
                <w:szCs w:val="16"/>
                <w:lang w:val="en-GB"/>
              </w:rPr>
              <w:t>8r)</w:t>
            </w:r>
          </w:p>
        </w:tc>
      </w:tr>
      <w:tr w:rsidR="00F37117" w:rsidRPr="003011B1" w14:paraId="5C16CAD5" w14:textId="77777777" w:rsidTr="007B4890">
        <w:trPr>
          <w:trHeight w:val="320"/>
        </w:trPr>
        <w:tc>
          <w:tcPr>
            <w:tcW w:w="4200" w:type="dxa"/>
            <w:tcBorders>
              <w:top w:val="nil"/>
              <w:left w:val="single" w:sz="8" w:space="0" w:color="auto"/>
              <w:bottom w:val="single" w:sz="4" w:space="0" w:color="auto"/>
              <w:right w:val="single" w:sz="4" w:space="0" w:color="auto"/>
            </w:tcBorders>
            <w:shd w:val="clear" w:color="000000" w:fill="D9D9D9"/>
            <w:hideMark/>
          </w:tcPr>
          <w:p w14:paraId="224E2E72" w14:textId="77777777" w:rsidR="00F37117" w:rsidRPr="003011B1" w:rsidRDefault="00F37117" w:rsidP="007B4890">
            <w:pPr>
              <w:rPr>
                <w:rFonts w:ascii="Calibri" w:hAnsi="Calibri"/>
                <w:color w:val="000000"/>
                <w:sz w:val="16"/>
                <w:szCs w:val="16"/>
                <w:lang w:val="en-GB"/>
              </w:rPr>
            </w:pPr>
            <w:r w:rsidRPr="003011B1">
              <w:rPr>
                <w:rFonts w:ascii="Calibri" w:hAnsi="Calibri"/>
                <w:color w:val="000000"/>
                <w:sz w:val="16"/>
                <w:szCs w:val="16"/>
                <w:lang w:val="en-GB"/>
              </w:rPr>
              <w:t>Nature of suspensions</w:t>
            </w:r>
          </w:p>
        </w:tc>
        <w:tc>
          <w:tcPr>
            <w:tcW w:w="1760" w:type="dxa"/>
            <w:tcBorders>
              <w:top w:val="nil"/>
              <w:left w:val="nil"/>
              <w:bottom w:val="single" w:sz="4" w:space="0" w:color="auto"/>
              <w:right w:val="single" w:sz="8" w:space="0" w:color="auto"/>
            </w:tcBorders>
            <w:shd w:val="clear" w:color="auto" w:fill="auto"/>
            <w:hideMark/>
          </w:tcPr>
          <w:p w14:paraId="2C588C9A" w14:textId="77777777" w:rsidR="00F37117" w:rsidRPr="003011B1" w:rsidRDefault="00F37117" w:rsidP="007B4890">
            <w:pPr>
              <w:rPr>
                <w:rFonts w:ascii="Calibri" w:hAnsi="Calibri"/>
                <w:color w:val="FF0000"/>
                <w:sz w:val="16"/>
                <w:szCs w:val="16"/>
                <w:lang w:val="en-GB"/>
              </w:rPr>
            </w:pPr>
            <w:r w:rsidRPr="003011B1">
              <w:rPr>
                <w:rFonts w:ascii="Calibri" w:hAnsi="Calibri"/>
                <w:color w:val="FF0000"/>
                <w:sz w:val="16"/>
                <w:szCs w:val="16"/>
                <w:lang w:val="en-GB"/>
              </w:rPr>
              <w:t>8s)</w:t>
            </w:r>
          </w:p>
        </w:tc>
      </w:tr>
      <w:tr w:rsidR="00F37117" w:rsidRPr="003011B1" w14:paraId="5B1B9770" w14:textId="77777777" w:rsidTr="007B4890">
        <w:trPr>
          <w:trHeight w:val="320"/>
        </w:trPr>
        <w:tc>
          <w:tcPr>
            <w:tcW w:w="4200" w:type="dxa"/>
            <w:tcBorders>
              <w:top w:val="nil"/>
              <w:left w:val="single" w:sz="8" w:space="0" w:color="auto"/>
              <w:bottom w:val="single" w:sz="4" w:space="0" w:color="auto"/>
              <w:right w:val="single" w:sz="4" w:space="0" w:color="auto"/>
            </w:tcBorders>
            <w:shd w:val="clear" w:color="000000" w:fill="D9D9D9"/>
            <w:hideMark/>
          </w:tcPr>
          <w:p w14:paraId="717033E1" w14:textId="77777777" w:rsidR="00F37117" w:rsidRPr="003011B1" w:rsidRDefault="00F37117" w:rsidP="007B4890">
            <w:pPr>
              <w:rPr>
                <w:rFonts w:ascii="Calibri" w:hAnsi="Calibri"/>
                <w:color w:val="000000"/>
                <w:sz w:val="16"/>
                <w:szCs w:val="16"/>
                <w:lang w:val="en-GB"/>
              </w:rPr>
            </w:pPr>
            <w:r w:rsidRPr="003011B1">
              <w:rPr>
                <w:rFonts w:ascii="Calibri" w:hAnsi="Calibri"/>
                <w:color w:val="000000"/>
                <w:sz w:val="16"/>
                <w:szCs w:val="16"/>
                <w:lang w:val="en-GB"/>
              </w:rPr>
              <w:t>Average duration of suspensions</w:t>
            </w:r>
          </w:p>
        </w:tc>
        <w:tc>
          <w:tcPr>
            <w:tcW w:w="1760" w:type="dxa"/>
            <w:tcBorders>
              <w:top w:val="nil"/>
              <w:left w:val="nil"/>
              <w:bottom w:val="single" w:sz="4" w:space="0" w:color="auto"/>
              <w:right w:val="single" w:sz="8" w:space="0" w:color="auto"/>
            </w:tcBorders>
            <w:shd w:val="clear" w:color="auto" w:fill="auto"/>
            <w:hideMark/>
          </w:tcPr>
          <w:p w14:paraId="78832B28" w14:textId="77777777" w:rsidR="00F37117" w:rsidRPr="003011B1" w:rsidRDefault="00F37117" w:rsidP="007B4890">
            <w:pPr>
              <w:rPr>
                <w:rFonts w:ascii="Calibri" w:hAnsi="Calibri"/>
                <w:color w:val="FF0000"/>
                <w:sz w:val="16"/>
                <w:szCs w:val="16"/>
                <w:lang w:val="en-GB"/>
              </w:rPr>
            </w:pPr>
            <w:r w:rsidRPr="003011B1">
              <w:rPr>
                <w:rFonts w:ascii="Calibri" w:hAnsi="Calibri"/>
                <w:color w:val="FF0000"/>
                <w:sz w:val="16"/>
                <w:szCs w:val="16"/>
                <w:lang w:val="en-GB"/>
              </w:rPr>
              <w:t>8t)</w:t>
            </w:r>
          </w:p>
        </w:tc>
      </w:tr>
      <w:tr w:rsidR="00F37117" w:rsidRPr="003011B1" w14:paraId="5C224921" w14:textId="77777777" w:rsidTr="007B4890">
        <w:trPr>
          <w:trHeight w:val="440"/>
        </w:trPr>
        <w:tc>
          <w:tcPr>
            <w:tcW w:w="4200" w:type="dxa"/>
            <w:tcBorders>
              <w:top w:val="nil"/>
              <w:left w:val="single" w:sz="8" w:space="0" w:color="auto"/>
              <w:bottom w:val="single" w:sz="4" w:space="0" w:color="auto"/>
              <w:right w:val="single" w:sz="4" w:space="0" w:color="auto"/>
            </w:tcBorders>
            <w:shd w:val="clear" w:color="000000" w:fill="D9D9D9"/>
            <w:hideMark/>
          </w:tcPr>
          <w:p w14:paraId="4C8D91E8" w14:textId="77777777" w:rsidR="00F37117" w:rsidRPr="003011B1" w:rsidRDefault="00F37117" w:rsidP="007B4890">
            <w:pPr>
              <w:rPr>
                <w:rFonts w:ascii="Calibri" w:hAnsi="Calibri"/>
                <w:color w:val="000000"/>
                <w:sz w:val="16"/>
                <w:szCs w:val="16"/>
                <w:lang w:val="en-GB"/>
              </w:rPr>
            </w:pPr>
            <w:r w:rsidRPr="003011B1">
              <w:rPr>
                <w:rFonts w:ascii="Calibri" w:hAnsi="Calibri"/>
                <w:color w:val="000000"/>
                <w:sz w:val="16"/>
                <w:szCs w:val="16"/>
                <w:lang w:val="en-GB"/>
              </w:rPr>
              <w:t>For continuous quote venues, number of periods during which no quotes were provided</w:t>
            </w:r>
          </w:p>
        </w:tc>
        <w:tc>
          <w:tcPr>
            <w:tcW w:w="1760" w:type="dxa"/>
            <w:tcBorders>
              <w:top w:val="nil"/>
              <w:left w:val="nil"/>
              <w:bottom w:val="single" w:sz="4" w:space="0" w:color="auto"/>
              <w:right w:val="single" w:sz="8" w:space="0" w:color="auto"/>
            </w:tcBorders>
            <w:shd w:val="clear" w:color="auto" w:fill="auto"/>
            <w:hideMark/>
          </w:tcPr>
          <w:p w14:paraId="6E235289" w14:textId="77777777" w:rsidR="00F37117" w:rsidRPr="003011B1" w:rsidRDefault="00F37117" w:rsidP="007B4890">
            <w:pPr>
              <w:rPr>
                <w:rFonts w:ascii="Calibri" w:hAnsi="Calibri"/>
                <w:color w:val="FF0000"/>
                <w:sz w:val="16"/>
                <w:szCs w:val="16"/>
                <w:lang w:val="en-GB"/>
              </w:rPr>
            </w:pPr>
            <w:r w:rsidRPr="003011B1">
              <w:rPr>
                <w:rFonts w:ascii="Calibri" w:hAnsi="Calibri"/>
                <w:color w:val="FF0000"/>
                <w:sz w:val="16"/>
                <w:szCs w:val="16"/>
                <w:lang w:val="en-GB"/>
              </w:rPr>
              <w:t>N/A</w:t>
            </w:r>
          </w:p>
        </w:tc>
      </w:tr>
      <w:tr w:rsidR="00F37117" w:rsidRPr="003011B1" w14:paraId="1837CF6E" w14:textId="77777777" w:rsidTr="007B4890">
        <w:trPr>
          <w:trHeight w:val="440"/>
        </w:trPr>
        <w:tc>
          <w:tcPr>
            <w:tcW w:w="4200" w:type="dxa"/>
            <w:tcBorders>
              <w:top w:val="nil"/>
              <w:left w:val="single" w:sz="8" w:space="0" w:color="auto"/>
              <w:bottom w:val="single" w:sz="4" w:space="0" w:color="auto"/>
              <w:right w:val="single" w:sz="4" w:space="0" w:color="auto"/>
            </w:tcBorders>
            <w:shd w:val="clear" w:color="000000" w:fill="D9D9D9"/>
            <w:hideMark/>
          </w:tcPr>
          <w:p w14:paraId="2A5C5E77" w14:textId="77777777" w:rsidR="00F37117" w:rsidRPr="003011B1" w:rsidRDefault="00F37117" w:rsidP="007B4890">
            <w:pPr>
              <w:rPr>
                <w:rFonts w:ascii="Calibri" w:hAnsi="Calibri"/>
                <w:color w:val="000000"/>
                <w:sz w:val="16"/>
                <w:szCs w:val="16"/>
                <w:lang w:val="en-GB"/>
              </w:rPr>
            </w:pPr>
            <w:r w:rsidRPr="003011B1">
              <w:rPr>
                <w:rFonts w:ascii="Calibri" w:hAnsi="Calibri"/>
                <w:color w:val="000000"/>
                <w:sz w:val="16"/>
                <w:szCs w:val="16"/>
                <w:lang w:val="en-GB"/>
              </w:rPr>
              <w:t>For continuous quote venues, average duration of periods during which no quotes were provided</w:t>
            </w:r>
          </w:p>
        </w:tc>
        <w:tc>
          <w:tcPr>
            <w:tcW w:w="1760" w:type="dxa"/>
            <w:tcBorders>
              <w:top w:val="nil"/>
              <w:left w:val="nil"/>
              <w:bottom w:val="single" w:sz="4" w:space="0" w:color="auto"/>
              <w:right w:val="single" w:sz="8" w:space="0" w:color="auto"/>
            </w:tcBorders>
            <w:shd w:val="clear" w:color="auto" w:fill="auto"/>
            <w:hideMark/>
          </w:tcPr>
          <w:p w14:paraId="34A0CF27" w14:textId="77777777" w:rsidR="00F37117" w:rsidRPr="003011B1" w:rsidRDefault="00F37117" w:rsidP="007B4890">
            <w:pPr>
              <w:rPr>
                <w:rFonts w:ascii="Calibri" w:hAnsi="Calibri"/>
                <w:color w:val="FF0000"/>
                <w:sz w:val="16"/>
                <w:szCs w:val="16"/>
                <w:lang w:val="en-GB"/>
              </w:rPr>
            </w:pPr>
            <w:r w:rsidRPr="003011B1">
              <w:rPr>
                <w:rFonts w:ascii="Calibri" w:hAnsi="Calibri"/>
                <w:color w:val="FF0000"/>
                <w:sz w:val="16"/>
                <w:szCs w:val="16"/>
                <w:lang w:val="en-GB"/>
              </w:rPr>
              <w:t>N/A</w:t>
            </w:r>
          </w:p>
        </w:tc>
      </w:tr>
      <w:tr w:rsidR="00F37117" w:rsidRPr="003011B1" w14:paraId="1CFA0A3F" w14:textId="77777777" w:rsidTr="007B4890">
        <w:trPr>
          <w:trHeight w:val="340"/>
        </w:trPr>
        <w:tc>
          <w:tcPr>
            <w:tcW w:w="4200" w:type="dxa"/>
            <w:tcBorders>
              <w:top w:val="nil"/>
              <w:left w:val="single" w:sz="8" w:space="0" w:color="auto"/>
              <w:bottom w:val="single" w:sz="8" w:space="0" w:color="auto"/>
              <w:right w:val="single" w:sz="4" w:space="0" w:color="auto"/>
            </w:tcBorders>
            <w:shd w:val="clear" w:color="000000" w:fill="D9D9D9"/>
            <w:hideMark/>
          </w:tcPr>
          <w:p w14:paraId="301D74A5" w14:textId="77777777" w:rsidR="00F37117" w:rsidRPr="003011B1" w:rsidRDefault="00F37117" w:rsidP="007B4890">
            <w:pPr>
              <w:rPr>
                <w:rFonts w:ascii="Calibri" w:hAnsi="Calibri"/>
                <w:color w:val="000000"/>
                <w:sz w:val="16"/>
                <w:szCs w:val="16"/>
                <w:lang w:val="en-GB"/>
              </w:rPr>
            </w:pPr>
            <w:r w:rsidRPr="003011B1">
              <w:rPr>
                <w:rFonts w:ascii="Calibri" w:hAnsi="Calibri"/>
                <w:color w:val="000000"/>
                <w:sz w:val="16"/>
                <w:szCs w:val="16"/>
                <w:lang w:val="en-GB"/>
              </w:rPr>
              <w:t>Average quote presence</w:t>
            </w:r>
          </w:p>
        </w:tc>
        <w:tc>
          <w:tcPr>
            <w:tcW w:w="1760" w:type="dxa"/>
            <w:tcBorders>
              <w:top w:val="nil"/>
              <w:left w:val="nil"/>
              <w:bottom w:val="single" w:sz="8" w:space="0" w:color="auto"/>
              <w:right w:val="single" w:sz="8" w:space="0" w:color="auto"/>
            </w:tcBorders>
            <w:shd w:val="clear" w:color="auto" w:fill="auto"/>
            <w:hideMark/>
          </w:tcPr>
          <w:p w14:paraId="7510B4EE" w14:textId="77777777" w:rsidR="00F37117" w:rsidRPr="003011B1" w:rsidRDefault="00F37117" w:rsidP="007B4890">
            <w:pPr>
              <w:rPr>
                <w:rFonts w:ascii="Calibri" w:hAnsi="Calibri"/>
                <w:color w:val="FF0000"/>
                <w:sz w:val="16"/>
                <w:szCs w:val="16"/>
                <w:lang w:val="en-GB"/>
              </w:rPr>
            </w:pPr>
            <w:r w:rsidRPr="003011B1">
              <w:rPr>
                <w:rFonts w:ascii="Calibri" w:hAnsi="Calibri"/>
                <w:color w:val="FF0000"/>
                <w:sz w:val="16"/>
                <w:szCs w:val="16"/>
                <w:lang w:val="en-GB"/>
              </w:rPr>
              <w:t>N/A</w:t>
            </w:r>
          </w:p>
        </w:tc>
      </w:tr>
    </w:tbl>
    <w:p w14:paraId="3F67C90F" w14:textId="77777777" w:rsidR="002005D5" w:rsidRPr="003011B1" w:rsidRDefault="002005D5" w:rsidP="002005D5">
      <w:pPr>
        <w:rPr>
          <w:lang w:val="en-GB"/>
        </w:rPr>
      </w:pPr>
    </w:p>
    <w:p w14:paraId="778F0AB7" w14:textId="77777777" w:rsidR="00126240" w:rsidRPr="003011B1" w:rsidRDefault="00126240" w:rsidP="002F738E">
      <w:pPr>
        <w:pStyle w:val="Heading2"/>
        <w:rPr>
          <w:lang w:val="en-GB"/>
        </w:rPr>
      </w:pPr>
      <w:bookmarkStart w:id="67" w:name="_Toc495562574"/>
      <w:bookmarkStart w:id="68" w:name="_Toc471981425"/>
      <w:bookmarkStart w:id="69" w:name="_Toc472051208"/>
      <w:r w:rsidRPr="003011B1">
        <w:rPr>
          <w:lang w:val="en-GB"/>
        </w:rPr>
        <w:t>Specific Scenarios for Bonds</w:t>
      </w:r>
      <w:bookmarkEnd w:id="67"/>
    </w:p>
    <w:p w14:paraId="459AF4E8" w14:textId="77777777" w:rsidR="001E2FD8" w:rsidRPr="003011B1" w:rsidRDefault="001E2FD8" w:rsidP="002F738E">
      <w:pPr>
        <w:pStyle w:val="Heading3"/>
        <w:rPr>
          <w:lang w:val="en-GB"/>
        </w:rPr>
      </w:pPr>
      <w:bookmarkStart w:id="70" w:name="_Toc472519250"/>
      <w:bookmarkStart w:id="71" w:name="_Toc472540345"/>
      <w:bookmarkStart w:id="72" w:name="_Toc473563379"/>
      <w:bookmarkStart w:id="73" w:name="_Toc475388835"/>
      <w:bookmarkStart w:id="74" w:name="_Toc471981143"/>
      <w:bookmarkStart w:id="75" w:name="_Toc472519251"/>
      <w:bookmarkStart w:id="76" w:name="_Toc472540346"/>
      <w:bookmarkStart w:id="77" w:name="_Toc473563380"/>
      <w:bookmarkStart w:id="78" w:name="_Toc475388836"/>
      <w:bookmarkStart w:id="79" w:name="_Toc495562575"/>
      <w:bookmarkEnd w:id="68"/>
      <w:bookmarkEnd w:id="69"/>
      <w:bookmarkEnd w:id="70"/>
      <w:bookmarkEnd w:id="71"/>
      <w:bookmarkEnd w:id="72"/>
      <w:bookmarkEnd w:id="73"/>
      <w:bookmarkEnd w:id="74"/>
      <w:bookmarkEnd w:id="75"/>
      <w:bookmarkEnd w:id="76"/>
      <w:bookmarkEnd w:id="77"/>
      <w:bookmarkEnd w:id="78"/>
      <w:r w:rsidRPr="003011B1">
        <w:rPr>
          <w:lang w:val="en-GB"/>
        </w:rPr>
        <w:t>Firm Quote</w:t>
      </w:r>
      <w:bookmarkEnd w:id="79"/>
    </w:p>
    <w:p w14:paraId="64B24DCF" w14:textId="77777777" w:rsidR="001E2FD8" w:rsidRPr="003011B1" w:rsidRDefault="001E2FD8" w:rsidP="001E2FD8">
      <w:pPr>
        <w:rPr>
          <w:lang w:val="en-GB"/>
        </w:rPr>
      </w:pPr>
      <w:r w:rsidRPr="003011B1">
        <w:rPr>
          <w:lang w:val="en-GB"/>
        </w:rPr>
        <w:t>Single firm quote with time to live (FX Derivatives, Fixed Income Cash, FI Derivative)</w:t>
      </w:r>
    </w:p>
    <w:p w14:paraId="275FDCC3" w14:textId="77777777" w:rsidR="001E2FD8" w:rsidRPr="003011B1" w:rsidRDefault="001E2FD8" w:rsidP="001E2FD8">
      <w:pPr>
        <w:rPr>
          <w:lang w:val="en-GB"/>
        </w:rPr>
      </w:pPr>
      <w:r w:rsidRPr="003011B1">
        <w:rPr>
          <w:lang w:val="en-GB"/>
        </w:rPr>
        <w:t>Streaming firm quote</w:t>
      </w:r>
    </w:p>
    <w:p w14:paraId="23A4E129" w14:textId="77777777" w:rsidR="001E2FD8" w:rsidRPr="003011B1" w:rsidRDefault="001E2FD8" w:rsidP="002F738E">
      <w:pPr>
        <w:pStyle w:val="Heading3"/>
        <w:rPr>
          <w:lang w:val="en-GB"/>
        </w:rPr>
      </w:pPr>
      <w:bookmarkStart w:id="80" w:name="_Toc495562576"/>
      <w:r w:rsidRPr="003011B1">
        <w:rPr>
          <w:lang w:val="en-GB"/>
        </w:rPr>
        <w:t>Indicative Quote</w:t>
      </w:r>
      <w:bookmarkEnd w:id="80"/>
    </w:p>
    <w:p w14:paraId="53DA0092" w14:textId="2308511D" w:rsidR="001E2FD8" w:rsidRPr="003011B1" w:rsidRDefault="00FE4086" w:rsidP="002005D5">
      <w:pPr>
        <w:rPr>
          <w:lang w:val="en-GB"/>
        </w:rPr>
      </w:pPr>
      <w:r>
        <w:rPr>
          <w:lang w:val="en-GB"/>
        </w:rPr>
        <w:t>It is the consenus of this FIX Regulatory Subgroup that for the purposes of Best Execution reporting , indicative quotes would not be in scope.</w:t>
      </w:r>
    </w:p>
    <w:p w14:paraId="6D54B51B" w14:textId="77777777" w:rsidR="001E2FD8" w:rsidRPr="003011B1" w:rsidRDefault="001E2FD8" w:rsidP="002F738E">
      <w:pPr>
        <w:pStyle w:val="Heading2"/>
        <w:rPr>
          <w:lang w:val="en-GB"/>
        </w:rPr>
      </w:pPr>
      <w:bookmarkStart w:id="81" w:name="_Toc495562577"/>
      <w:r w:rsidRPr="003011B1">
        <w:rPr>
          <w:lang w:val="en-GB"/>
        </w:rPr>
        <w:lastRenderedPageBreak/>
        <w:t>Specific Scenarios for Derivatives</w:t>
      </w:r>
      <w:bookmarkEnd w:id="81"/>
    </w:p>
    <w:p w14:paraId="65B4C55E" w14:textId="77777777" w:rsidR="001E2FD8" w:rsidRPr="003011B1" w:rsidRDefault="001E2FD8" w:rsidP="002F738E">
      <w:pPr>
        <w:pStyle w:val="Heading3"/>
        <w:rPr>
          <w:lang w:val="en-GB"/>
        </w:rPr>
      </w:pPr>
      <w:bookmarkStart w:id="82" w:name="_Toc495562578"/>
      <w:r w:rsidRPr="003011B1">
        <w:rPr>
          <w:lang w:val="en-GB"/>
        </w:rPr>
        <w:t>Firm Quote</w:t>
      </w:r>
      <w:bookmarkEnd w:id="82"/>
    </w:p>
    <w:p w14:paraId="63048B07" w14:textId="77777777" w:rsidR="001E2FD8" w:rsidRPr="003011B1" w:rsidRDefault="001E2FD8" w:rsidP="001E2FD8">
      <w:pPr>
        <w:rPr>
          <w:lang w:val="en-GB"/>
        </w:rPr>
      </w:pPr>
      <w:r w:rsidRPr="003011B1">
        <w:rPr>
          <w:lang w:val="en-GB"/>
        </w:rPr>
        <w:t>Single firm quote with time to live (FX Derivatives, FI Derivative)</w:t>
      </w:r>
    </w:p>
    <w:p w14:paraId="40566A41" w14:textId="77777777" w:rsidR="001E2FD8" w:rsidRPr="003011B1" w:rsidRDefault="001E2FD8" w:rsidP="001E2FD8">
      <w:pPr>
        <w:rPr>
          <w:lang w:val="en-GB"/>
        </w:rPr>
      </w:pPr>
      <w:r w:rsidRPr="003011B1">
        <w:rPr>
          <w:lang w:val="en-GB"/>
        </w:rPr>
        <w:t>Streaming firm quote</w:t>
      </w:r>
    </w:p>
    <w:p w14:paraId="4E3709DE" w14:textId="77777777" w:rsidR="001E2FD8" w:rsidRPr="003011B1" w:rsidRDefault="001E2FD8" w:rsidP="002F738E">
      <w:pPr>
        <w:pStyle w:val="Heading3"/>
        <w:rPr>
          <w:lang w:val="en-GB"/>
        </w:rPr>
      </w:pPr>
      <w:bookmarkStart w:id="83" w:name="_Toc495562579"/>
      <w:r w:rsidRPr="003011B1">
        <w:rPr>
          <w:lang w:val="en-GB"/>
        </w:rPr>
        <w:t>Indicative Quote</w:t>
      </w:r>
      <w:bookmarkEnd w:id="83"/>
    </w:p>
    <w:p w14:paraId="29851052" w14:textId="77777777" w:rsidR="002F738E" w:rsidRDefault="00FE4086" w:rsidP="00F842B7">
      <w:pPr>
        <w:rPr>
          <w:lang w:val="en-GB"/>
        </w:rPr>
      </w:pPr>
      <w:r>
        <w:rPr>
          <w:lang w:val="en-GB"/>
        </w:rPr>
        <w:t>It is the consenus of this FIX Regulatory Subgroup that for the purposes of Best Execution reporting , indicative quotes would not be in scope.</w:t>
      </w:r>
    </w:p>
    <w:p w14:paraId="647C8997" w14:textId="77777777" w:rsidR="002F738E" w:rsidRPr="002F738E" w:rsidRDefault="002F738E" w:rsidP="002F738E">
      <w:pPr>
        <w:pStyle w:val="Heading2"/>
        <w:rPr>
          <w:lang w:val="en-GB"/>
        </w:rPr>
      </w:pPr>
      <w:bookmarkStart w:id="84" w:name="_Toc495562580"/>
      <w:r w:rsidRPr="002F738E">
        <w:rPr>
          <w:lang w:val="en-GB"/>
        </w:rPr>
        <w:t>Recommended Implementation Practices</w:t>
      </w:r>
      <w:bookmarkEnd w:id="84"/>
    </w:p>
    <w:p w14:paraId="3102DE75" w14:textId="6A4478BC" w:rsidR="00A421ED" w:rsidRDefault="00A421ED" w:rsidP="001253F4">
      <w:pPr>
        <w:pStyle w:val="CommentText"/>
      </w:pPr>
      <w:r>
        <w:t xml:space="preserve">Under latest </w:t>
      </w:r>
      <w:r w:rsidR="001253F4">
        <w:t>ESMA Q&amp;A</w:t>
      </w:r>
      <w:r>
        <w:t xml:space="preserve"> guidance (10 July 2017) execution venues and firms are re</w:t>
      </w:r>
      <w:r w:rsidR="0075653D">
        <w:t>q</w:t>
      </w:r>
      <w:r>
        <w:t>uired to make the RTS 27 reports available to the public, without any charges, in a</w:t>
      </w:r>
      <w:r w:rsidR="001253F4">
        <w:t xml:space="preserve"> ma</w:t>
      </w:r>
      <w:r>
        <w:t>chine readable and electronic format.</w:t>
      </w:r>
    </w:p>
    <w:p w14:paraId="7436AEF8" w14:textId="0A2626D5" w:rsidR="001253F4" w:rsidRDefault="00A421ED" w:rsidP="001253F4">
      <w:pPr>
        <w:pStyle w:val="CommentText"/>
      </w:pPr>
      <w:r>
        <w:t xml:space="preserve">The regulatory objective is that industry participants should be able to </w:t>
      </w:r>
      <w:r w:rsidR="001253F4">
        <w:t xml:space="preserve">compare </w:t>
      </w:r>
      <w:r>
        <w:t xml:space="preserve">execution performance, depth of liquidity and speed of execution </w:t>
      </w:r>
      <w:r w:rsidR="001253F4">
        <w:t xml:space="preserve">between </w:t>
      </w:r>
      <w:r>
        <w:t xml:space="preserve">multiple venues across the same asset class. </w:t>
      </w:r>
      <w:r w:rsidR="001253F4">
        <w:t xml:space="preserve"> </w:t>
      </w:r>
    </w:p>
    <w:p w14:paraId="74AC6416" w14:textId="1A7A3EF1" w:rsidR="00CF1685" w:rsidRDefault="00CF1685" w:rsidP="001253F4">
      <w:pPr>
        <w:pStyle w:val="CommentText"/>
      </w:pPr>
      <w:r>
        <w:t xml:space="preserve">To ensure that such reports are freely accessible, firms should publish these reports on their respective websites in an easily identifiable location on a page without any access limitiations.  ESMA notes in Q&amp;A guidance that these preorts should not be placed behind a firewall, registration page or be subject to password encryption or other restrictions. </w:t>
      </w:r>
    </w:p>
    <w:p w14:paraId="20734EFF" w14:textId="77777777" w:rsidR="00CF1685" w:rsidRDefault="00CF1685" w:rsidP="001253F4">
      <w:pPr>
        <w:pStyle w:val="CommentText"/>
      </w:pPr>
    </w:p>
    <w:p w14:paraId="485CE6BA" w14:textId="45E82FA1" w:rsidR="00A421ED" w:rsidRDefault="002F738E" w:rsidP="002F738E">
      <w:pPr>
        <w:rPr>
          <w:lang w:val="en-GB"/>
        </w:rPr>
      </w:pPr>
      <w:r w:rsidRPr="003011B1">
        <w:rPr>
          <w:lang w:val="en-GB"/>
        </w:rPr>
        <w:t>It is the consensus of the group that RTS 27 data should be made available to download on a per instrument basis</w:t>
      </w:r>
      <w:r w:rsidR="00DD1A3A">
        <w:rPr>
          <w:lang w:val="en-GB"/>
        </w:rPr>
        <w:t xml:space="preserve"> or collectively in one download</w:t>
      </w:r>
      <w:r w:rsidR="00A421ED">
        <w:rPr>
          <w:lang w:val="en-GB"/>
        </w:rPr>
        <w:t xml:space="preserve"> to ensure there is no restriction in accessing RTS 27 data</w:t>
      </w:r>
      <w:r w:rsidR="00CF1685">
        <w:rPr>
          <w:lang w:val="en-GB"/>
        </w:rPr>
        <w:t xml:space="preserve"> in the format required</w:t>
      </w:r>
      <w:r w:rsidR="00A421ED">
        <w:rPr>
          <w:lang w:val="en-GB"/>
        </w:rPr>
        <w:t xml:space="preserve">.  </w:t>
      </w:r>
    </w:p>
    <w:p w14:paraId="1B1D84AA" w14:textId="77777777" w:rsidR="00A421ED" w:rsidRDefault="00A421ED" w:rsidP="002F738E">
      <w:pPr>
        <w:rPr>
          <w:lang w:val="en-GB"/>
        </w:rPr>
      </w:pPr>
    </w:p>
    <w:p w14:paraId="18B743BE" w14:textId="173C70C2" w:rsidR="002F738E" w:rsidRPr="003011B1" w:rsidRDefault="00A421ED" w:rsidP="002F738E">
      <w:pPr>
        <w:rPr>
          <w:lang w:val="en-GB"/>
        </w:rPr>
      </w:pPr>
      <w:r>
        <w:rPr>
          <w:lang w:val="en-GB"/>
        </w:rPr>
        <w:t>As t</w:t>
      </w:r>
      <w:r w:rsidR="00DD1A3A">
        <w:rPr>
          <w:lang w:val="en-GB"/>
        </w:rPr>
        <w:t>he file must be machine readable</w:t>
      </w:r>
      <w:r>
        <w:rPr>
          <w:lang w:val="en-GB"/>
        </w:rPr>
        <w:t>, the</w:t>
      </w:r>
      <w:r w:rsidR="00DD1A3A">
        <w:rPr>
          <w:lang w:val="en-GB"/>
        </w:rPr>
        <w:t xml:space="preserve"> FIX Trading Community</w:t>
      </w:r>
      <w:r w:rsidR="002F738E" w:rsidRPr="003011B1">
        <w:rPr>
          <w:lang w:val="en-GB"/>
        </w:rPr>
        <w:t xml:space="preserve"> recommend</w:t>
      </w:r>
      <w:r w:rsidR="00DD1A3A">
        <w:rPr>
          <w:lang w:val="en-GB"/>
        </w:rPr>
        <w:t>s</w:t>
      </w:r>
      <w:r w:rsidR="002F738E" w:rsidRPr="003011B1">
        <w:rPr>
          <w:lang w:val="en-GB"/>
        </w:rPr>
        <w:t xml:space="preserve"> provid</w:t>
      </w:r>
      <w:r w:rsidR="00CF1685">
        <w:rPr>
          <w:lang w:val="en-GB"/>
        </w:rPr>
        <w:t>ing</w:t>
      </w:r>
      <w:r w:rsidR="002F738E" w:rsidRPr="003011B1">
        <w:rPr>
          <w:lang w:val="en-GB"/>
        </w:rPr>
        <w:t xml:space="preserve"> this </w:t>
      </w:r>
      <w:r w:rsidR="00DD1A3A">
        <w:rPr>
          <w:lang w:val="en-GB"/>
        </w:rPr>
        <w:t xml:space="preserve">data </w:t>
      </w:r>
      <w:r w:rsidR="002F738E" w:rsidRPr="003011B1">
        <w:rPr>
          <w:lang w:val="en-GB"/>
        </w:rPr>
        <w:t xml:space="preserve">using XML schema.  </w:t>
      </w:r>
      <w:r w:rsidR="0075653D" w:rsidRPr="0075653D">
        <w:rPr>
          <w:lang w:val="en-GB"/>
        </w:rPr>
        <w:t>FIX Extension Packs EP231 (RTS 27) and EP236 (RTS 28) are being provided by the GTC.</w:t>
      </w:r>
    </w:p>
    <w:p w14:paraId="21B51D9A" w14:textId="77777777" w:rsidR="002F738E" w:rsidRDefault="002F738E" w:rsidP="00F842B7">
      <w:pPr>
        <w:rPr>
          <w:lang w:val="en-GB"/>
        </w:rPr>
      </w:pPr>
    </w:p>
    <w:p w14:paraId="4E105AE9" w14:textId="06623755" w:rsidR="00D70E81" w:rsidRDefault="00D70E81">
      <w:pPr>
        <w:rPr>
          <w:lang w:val="en-GB"/>
        </w:rPr>
      </w:pPr>
      <w:r>
        <w:rPr>
          <w:b/>
          <w:bCs/>
          <w:lang w:val="en-GB"/>
        </w:rPr>
        <w:br w:type="page"/>
      </w:r>
    </w:p>
    <w:p w14:paraId="153823B2" w14:textId="70CFED2E" w:rsidR="00826CA5" w:rsidRPr="00995AAB" w:rsidRDefault="00470576" w:rsidP="002F738E">
      <w:pPr>
        <w:pStyle w:val="Heading1"/>
        <w:rPr>
          <w:lang w:val="en-GB"/>
        </w:rPr>
      </w:pPr>
      <w:bookmarkStart w:id="85" w:name="_Toc495562581"/>
      <w:r w:rsidRPr="00995AAB">
        <w:rPr>
          <w:lang w:val="en-GB"/>
        </w:rPr>
        <w:lastRenderedPageBreak/>
        <w:t>RTS 28 Reporting Requirements</w:t>
      </w:r>
      <w:bookmarkEnd w:id="85"/>
    </w:p>
    <w:p w14:paraId="25BE30B1" w14:textId="77777777" w:rsidR="00AB2451" w:rsidRPr="00995AAB" w:rsidRDefault="00AB2451" w:rsidP="00995AAB">
      <w:pPr>
        <w:pStyle w:val="Heading2"/>
        <w:numPr>
          <w:ilvl w:val="0"/>
          <w:numId w:val="0"/>
        </w:numPr>
        <w:rPr>
          <w:lang w:val="en-GB"/>
        </w:rPr>
      </w:pPr>
      <w:bookmarkStart w:id="86" w:name="_Toc495562582"/>
      <w:r w:rsidRPr="00995AAB">
        <w:rPr>
          <w:lang w:val="en-GB"/>
        </w:rPr>
        <w:t>Generic Requirements</w:t>
      </w:r>
      <w:bookmarkEnd w:id="86"/>
    </w:p>
    <w:p w14:paraId="0F2702B5" w14:textId="77777777" w:rsidR="000E1486" w:rsidRDefault="00AB2451" w:rsidP="00AB2451">
      <w:pPr>
        <w:rPr>
          <w:rFonts w:cs="Arial"/>
          <w:szCs w:val="20"/>
          <w:lang w:val="en-GB"/>
        </w:rPr>
      </w:pPr>
      <w:r w:rsidRPr="00995AAB">
        <w:rPr>
          <w:rFonts w:cs="Arial"/>
          <w:szCs w:val="20"/>
          <w:lang w:val="en-GB"/>
        </w:rPr>
        <w:t xml:space="preserve">In order to fully assess the extent of the quality of execution being obtained on execution venues used by investment firms to execute client orders, including execution venues in third countries, it is appropriate to require investment firms to publish information required under this Regulation in relation to trading venues, market makers or other liquidity providers or any entity that performs a similar function in a third country to the functions performed by any of the foregoing. </w:t>
      </w:r>
      <w:r w:rsidR="00B1175B">
        <w:rPr>
          <w:rFonts w:cs="Arial"/>
          <w:szCs w:val="20"/>
          <w:lang w:val="en-GB"/>
        </w:rPr>
        <w:t xml:space="preserve"> </w:t>
      </w:r>
    </w:p>
    <w:p w14:paraId="127B3C4A" w14:textId="77777777" w:rsidR="000E1486" w:rsidRDefault="000E1486" w:rsidP="00AB2451">
      <w:pPr>
        <w:rPr>
          <w:rFonts w:cs="Arial"/>
          <w:szCs w:val="20"/>
          <w:lang w:val="en-GB"/>
        </w:rPr>
      </w:pPr>
    </w:p>
    <w:p w14:paraId="0C5EC5A7" w14:textId="669F9099" w:rsidR="00AB2451" w:rsidRPr="00995AAB" w:rsidRDefault="00B1175B" w:rsidP="00AB2451">
      <w:pPr>
        <w:rPr>
          <w:rFonts w:cs="Arial"/>
          <w:szCs w:val="20"/>
          <w:lang w:val="en-GB"/>
        </w:rPr>
      </w:pPr>
      <w:r>
        <w:rPr>
          <w:rFonts w:cs="Arial"/>
          <w:szCs w:val="20"/>
          <w:lang w:val="en-GB"/>
        </w:rPr>
        <w:t>As previously</w:t>
      </w:r>
      <w:r w:rsidR="000E1486">
        <w:rPr>
          <w:rFonts w:cs="Arial"/>
          <w:szCs w:val="20"/>
          <w:lang w:val="en-GB"/>
        </w:rPr>
        <w:t xml:space="preserve"> noted,</w:t>
      </w:r>
      <w:r>
        <w:rPr>
          <w:rFonts w:cs="Arial"/>
          <w:szCs w:val="20"/>
          <w:lang w:val="en-GB"/>
        </w:rPr>
        <w:t xml:space="preserve"> reports should be provided for both retail and professional clients separately as per RTS 28.9</w:t>
      </w:r>
      <w:r>
        <w:rPr>
          <w:rStyle w:val="FootnoteReference"/>
          <w:rFonts w:cs="Arial"/>
          <w:szCs w:val="20"/>
          <w:lang w:val="en-GB"/>
        </w:rPr>
        <w:footnoteReference w:id="3"/>
      </w:r>
      <w:r>
        <w:rPr>
          <w:rFonts w:cs="Arial"/>
          <w:szCs w:val="20"/>
          <w:lang w:val="en-GB"/>
        </w:rPr>
        <w:t xml:space="preserve">. </w:t>
      </w:r>
    </w:p>
    <w:p w14:paraId="2AD158DB" w14:textId="77777777" w:rsidR="002F6500" w:rsidRPr="00995AAB" w:rsidRDefault="002F6500" w:rsidP="00AB2451">
      <w:pPr>
        <w:rPr>
          <w:rFonts w:cs="Arial"/>
          <w:szCs w:val="20"/>
          <w:lang w:val="en-GB"/>
        </w:rPr>
      </w:pPr>
    </w:p>
    <w:p w14:paraId="677C81CC" w14:textId="5040AF5A" w:rsidR="000E1486" w:rsidRDefault="000E1486" w:rsidP="00F842B7">
      <w:pPr>
        <w:pStyle w:val="Heading2"/>
        <w:rPr>
          <w:lang w:val="en-GB"/>
        </w:rPr>
      </w:pPr>
      <w:bookmarkStart w:id="87" w:name="_Toc495562583"/>
      <w:r>
        <w:rPr>
          <w:lang w:val="en-GB"/>
        </w:rPr>
        <w:t>Which Reports to Produce</w:t>
      </w:r>
      <w:bookmarkEnd w:id="87"/>
    </w:p>
    <w:p w14:paraId="3C4AA472" w14:textId="3DAC2EE1" w:rsidR="002F6500" w:rsidRPr="00B1175B" w:rsidRDefault="002F6500" w:rsidP="002F6500">
      <w:pPr>
        <w:rPr>
          <w:lang w:val="en-GB"/>
        </w:rPr>
      </w:pPr>
      <w:r w:rsidRPr="00B1175B">
        <w:rPr>
          <w:lang w:val="en-GB"/>
        </w:rPr>
        <w:t>According to recent guidance from ESMA Q&amp;A (p16,a7)</w:t>
      </w:r>
      <w:r w:rsidRPr="00B1175B">
        <w:rPr>
          <w:rStyle w:val="FootnoteReference"/>
          <w:lang w:val="en-GB"/>
        </w:rPr>
        <w:footnoteReference w:id="4"/>
      </w:r>
      <w:r w:rsidRPr="00B1175B">
        <w:rPr>
          <w:lang w:val="en-GB"/>
        </w:rPr>
        <w:t xml:space="preserve"> the Top 5 Venues cited in the RTS 28 report should be determined as follows: </w:t>
      </w:r>
    </w:p>
    <w:p w14:paraId="16938FEB" w14:textId="77777777" w:rsidR="002F6500" w:rsidRPr="00B1175B" w:rsidRDefault="002F6500" w:rsidP="00A9410B">
      <w:pPr>
        <w:pStyle w:val="ListParagraph"/>
        <w:numPr>
          <w:ilvl w:val="0"/>
          <w:numId w:val="12"/>
        </w:numPr>
        <w:rPr>
          <w:lang w:val="en-GB"/>
        </w:rPr>
      </w:pPr>
      <w:r w:rsidRPr="00B1175B">
        <w:rPr>
          <w:lang w:val="en-GB"/>
        </w:rPr>
        <w:t>For those that transmit orders – their Top 5 Brokers under Article 65.6 of the Directed Regulation</w:t>
      </w:r>
    </w:p>
    <w:p w14:paraId="472538F7" w14:textId="77777777" w:rsidR="000D27E0" w:rsidRPr="000D27E0" w:rsidRDefault="002F6500" w:rsidP="000D27E0">
      <w:pPr>
        <w:pStyle w:val="ListParagraph"/>
        <w:numPr>
          <w:ilvl w:val="0"/>
          <w:numId w:val="12"/>
        </w:numPr>
        <w:rPr>
          <w:lang w:val="en-GB"/>
        </w:rPr>
      </w:pPr>
      <w:r w:rsidRPr="00B1175B">
        <w:rPr>
          <w:lang w:val="en-GB"/>
        </w:rPr>
        <w:t>For those that execute orders – the MIC codes of the underlying exchange or venue</w:t>
      </w:r>
      <w:r w:rsidR="0047476D" w:rsidRPr="0047476D">
        <w:t xml:space="preserve"> </w:t>
      </w:r>
      <w:r w:rsidR="0047476D">
        <w:t>where the venue MIC (not broker) returns FIX Tag 851.</w:t>
      </w:r>
    </w:p>
    <w:p w14:paraId="789341B2" w14:textId="77777777" w:rsidR="000D27E0" w:rsidRDefault="000D27E0" w:rsidP="000D27E0">
      <w:pPr>
        <w:rPr>
          <w:lang w:val="en-GB"/>
        </w:rPr>
      </w:pPr>
    </w:p>
    <w:p w14:paraId="36630105" w14:textId="77777777" w:rsidR="00B54142" w:rsidRDefault="00CC770A" w:rsidP="00621516">
      <w:pPr>
        <w:pStyle w:val="p1"/>
        <w:rPr>
          <w:rFonts w:cs="Arial"/>
          <w:szCs w:val="20"/>
          <w:lang w:bidi="he-IL"/>
        </w:rPr>
      </w:pPr>
      <w:r w:rsidRPr="00621516">
        <w:rPr>
          <w:rFonts w:ascii="Arial" w:hAnsi="Arial" w:cs="Arial"/>
          <w:color w:val="000000"/>
          <w:sz w:val="20"/>
          <w:szCs w:val="20"/>
        </w:rPr>
        <w:t xml:space="preserve">Where a </w:t>
      </w:r>
      <w:r w:rsidR="00B54142" w:rsidRPr="00621516">
        <w:rPr>
          <w:rFonts w:ascii="Arial" w:hAnsi="Arial" w:cs="Arial"/>
          <w:color w:val="000000"/>
          <w:sz w:val="20"/>
          <w:szCs w:val="20"/>
        </w:rPr>
        <w:t xml:space="preserve">firm provides </w:t>
      </w:r>
      <w:r w:rsidRPr="00621516">
        <w:rPr>
          <w:rFonts w:ascii="Arial" w:hAnsi="Arial" w:cs="Arial"/>
          <w:color w:val="000000"/>
          <w:sz w:val="20"/>
          <w:szCs w:val="20"/>
        </w:rPr>
        <w:t xml:space="preserve"> both </w:t>
      </w:r>
      <w:r w:rsidR="00B54142" w:rsidRPr="00621516">
        <w:rPr>
          <w:rFonts w:ascii="Arial" w:hAnsi="Arial" w:cs="Arial"/>
          <w:color w:val="000000"/>
          <w:sz w:val="20"/>
          <w:szCs w:val="20"/>
        </w:rPr>
        <w:t>the services of order execution and reception and transmission of orders</w:t>
      </w:r>
      <w:r w:rsidRPr="00621516">
        <w:rPr>
          <w:rFonts w:ascii="Arial" w:hAnsi="Arial" w:cs="Arial"/>
          <w:color w:val="000000"/>
          <w:sz w:val="20"/>
          <w:szCs w:val="20"/>
        </w:rPr>
        <w:t>, guidance from ESMA Q&amp;A quoted above (</w:t>
      </w:r>
      <w:r w:rsidR="00B54142" w:rsidRPr="00621516">
        <w:rPr>
          <w:rFonts w:ascii="Arial" w:hAnsi="Arial" w:cs="Arial"/>
          <w:color w:val="000000"/>
          <w:sz w:val="20"/>
          <w:szCs w:val="20"/>
        </w:rPr>
        <w:t xml:space="preserve">Question 7) </w:t>
      </w:r>
      <w:r w:rsidR="00B54142" w:rsidRPr="00621516">
        <w:rPr>
          <w:rFonts w:ascii="Arial" w:hAnsi="Arial" w:cs="Arial"/>
          <w:sz w:val="20"/>
          <w:szCs w:val="20"/>
          <w:lang w:val="en-US" w:eastAsia="en-US" w:bidi="he-IL"/>
        </w:rPr>
        <w:t>states that they will need to provide two separate reports in relation to these services</w:t>
      </w:r>
      <w:r w:rsidR="00B54142">
        <w:rPr>
          <w:rFonts w:ascii="Arial" w:hAnsi="Arial" w:cs="Arial"/>
          <w:sz w:val="20"/>
          <w:szCs w:val="20"/>
          <w:lang w:val="en-US" w:eastAsia="en-US" w:bidi="he-IL"/>
        </w:rPr>
        <w:t>, in other words both their top 5 Brokers under Article 65.6 of the Directed Regulatio and, separately, their top 5 execution venues under RTS 28</w:t>
      </w:r>
      <w:r w:rsidR="00B54142" w:rsidRPr="00621516">
        <w:rPr>
          <w:rFonts w:ascii="Arial" w:hAnsi="Arial" w:cs="Arial"/>
          <w:sz w:val="20"/>
          <w:szCs w:val="20"/>
          <w:lang w:val="en-US" w:eastAsia="en-US" w:bidi="he-IL"/>
        </w:rPr>
        <w:t xml:space="preserve">. </w:t>
      </w:r>
    </w:p>
    <w:p w14:paraId="7A0F6D32" w14:textId="77777777" w:rsidR="00B54142" w:rsidRDefault="00B54142" w:rsidP="00621516">
      <w:pPr>
        <w:pStyle w:val="p1"/>
        <w:rPr>
          <w:rFonts w:cs="Arial"/>
          <w:szCs w:val="20"/>
          <w:lang w:bidi="he-IL"/>
        </w:rPr>
      </w:pPr>
    </w:p>
    <w:p w14:paraId="0F9B6FE2" w14:textId="70F862B5" w:rsidR="00B54142" w:rsidRPr="00621516" w:rsidRDefault="00B54142" w:rsidP="00621516">
      <w:pPr>
        <w:pStyle w:val="p1"/>
        <w:rPr>
          <w:rFonts w:ascii="Arial" w:hAnsi="Arial" w:cs="Arial"/>
          <w:sz w:val="21"/>
          <w:szCs w:val="21"/>
          <w:lang w:val="en-US" w:bidi="he-IL"/>
        </w:rPr>
      </w:pPr>
      <w:r w:rsidRPr="00621516">
        <w:rPr>
          <w:rFonts w:ascii="Arial" w:hAnsi="Arial" w:cs="Arial"/>
          <w:sz w:val="21"/>
          <w:szCs w:val="21"/>
          <w:lang w:bidi="he-IL"/>
        </w:rPr>
        <w:t xml:space="preserve">It is important that these reports are distinct so that, investment firms disclose on one hand the top five execution venues and on the other hand the top five entities (brokers) to which client orders were routed during the relevant period. </w:t>
      </w:r>
      <w:r w:rsidRPr="00621516">
        <w:rPr>
          <w:rFonts w:ascii="Arial" w:hAnsi="Arial" w:cs="Arial"/>
          <w:sz w:val="21"/>
          <w:szCs w:val="21"/>
          <w:lang w:val="en-US" w:eastAsia="en-US" w:bidi="he-IL"/>
        </w:rPr>
        <w:t>This</w:t>
      </w:r>
      <w:r w:rsidRPr="00621516">
        <w:rPr>
          <w:rFonts w:ascii="Arial" w:hAnsi="Arial" w:cs="Arial"/>
          <w:sz w:val="21"/>
          <w:szCs w:val="21"/>
          <w:lang w:bidi="he-IL"/>
        </w:rPr>
        <w:t xml:space="preserve"> does not preclude firms from, in addition, providing a single consolidated report on the execution venues and entities the firms uses most frequently to execute client orders. </w:t>
      </w:r>
    </w:p>
    <w:p w14:paraId="2AC906F0" w14:textId="77777777" w:rsidR="00CC770A" w:rsidRDefault="00CC770A" w:rsidP="00621516">
      <w:pPr>
        <w:pStyle w:val="p1"/>
        <w:rPr>
          <w:rFonts w:cs="Arial"/>
          <w:color w:val="000000"/>
          <w:sz w:val="21"/>
          <w:szCs w:val="21"/>
        </w:rPr>
      </w:pPr>
    </w:p>
    <w:p w14:paraId="6114564D" w14:textId="1B2CF2E4" w:rsidR="00BE7F6D" w:rsidRPr="00EB6E65" w:rsidRDefault="00BE7F6D" w:rsidP="00BE7F6D">
      <w:pPr>
        <w:widowControl w:val="0"/>
        <w:autoSpaceDE w:val="0"/>
        <w:autoSpaceDN w:val="0"/>
        <w:adjustRightInd w:val="0"/>
        <w:spacing w:after="240"/>
        <w:rPr>
          <w:rFonts w:cs="Times"/>
          <w:color w:val="000000"/>
          <w:sz w:val="21"/>
          <w:szCs w:val="21"/>
          <w:lang w:val="en-GB"/>
        </w:rPr>
      </w:pPr>
      <w:r w:rsidRPr="00EB6E65">
        <w:rPr>
          <w:rFonts w:cs="Arial"/>
          <w:color w:val="000000"/>
          <w:sz w:val="21"/>
          <w:szCs w:val="21"/>
          <w:lang w:val="en-GB"/>
        </w:rPr>
        <w:t xml:space="preserve">Where portfolio managers or receivers and transmitters send orders for execution to different brokers or entities within a group, </w:t>
      </w:r>
      <w:r>
        <w:rPr>
          <w:rFonts w:cs="Arial"/>
          <w:color w:val="000000"/>
          <w:sz w:val="21"/>
          <w:szCs w:val="21"/>
          <w:lang w:val="en-GB"/>
        </w:rPr>
        <w:t xml:space="preserve">ESMA are of the view that year end information should be provided at the individual firm and not </w:t>
      </w:r>
      <w:r w:rsidR="00D23CC3">
        <w:rPr>
          <w:rFonts w:cs="Arial"/>
          <w:color w:val="000000"/>
          <w:sz w:val="21"/>
          <w:szCs w:val="21"/>
          <w:lang w:val="en-GB"/>
        </w:rPr>
        <w:t xml:space="preserve">be aggregated or consolidated at the </w:t>
      </w:r>
      <w:r w:rsidRPr="00EB6E65">
        <w:rPr>
          <w:rFonts w:cs="Arial"/>
          <w:color w:val="000000"/>
          <w:sz w:val="21"/>
          <w:szCs w:val="21"/>
          <w:lang w:val="en-GB"/>
        </w:rPr>
        <w:t>group level</w:t>
      </w:r>
      <w:r w:rsidR="00D23CC3">
        <w:rPr>
          <w:rStyle w:val="FootnoteReference"/>
          <w:rFonts w:cs="Arial"/>
          <w:color w:val="000000"/>
          <w:sz w:val="21"/>
          <w:szCs w:val="21"/>
          <w:lang w:val="en-GB"/>
        </w:rPr>
        <w:footnoteReference w:id="5"/>
      </w:r>
      <w:r w:rsidRPr="00EB6E65">
        <w:rPr>
          <w:rFonts w:cs="Arial"/>
          <w:color w:val="000000"/>
          <w:sz w:val="21"/>
          <w:szCs w:val="21"/>
          <w:lang w:val="en-GB"/>
        </w:rPr>
        <w:t xml:space="preserve">. </w:t>
      </w:r>
      <w:r>
        <w:rPr>
          <w:rFonts w:cs="Arial"/>
          <w:color w:val="000000"/>
          <w:sz w:val="21"/>
          <w:szCs w:val="21"/>
          <w:lang w:val="en-GB"/>
        </w:rPr>
        <w:t xml:space="preserve"> However, if </w:t>
      </w:r>
      <w:r>
        <w:rPr>
          <w:rFonts w:cs="Times"/>
          <w:color w:val="000000"/>
          <w:sz w:val="21"/>
          <w:szCs w:val="21"/>
          <w:lang w:val="en-GB"/>
        </w:rPr>
        <w:t xml:space="preserve">the </w:t>
      </w:r>
      <w:r w:rsidRPr="00EB6E65">
        <w:rPr>
          <w:rFonts w:cs="Arial"/>
          <w:color w:val="000000"/>
          <w:sz w:val="21"/>
          <w:szCs w:val="21"/>
          <w:lang w:val="en-GB"/>
        </w:rPr>
        <w:t>top five entities listed are dominated by entities from a single group</w:t>
      </w:r>
      <w:r>
        <w:rPr>
          <w:rFonts w:cs="Arial"/>
          <w:color w:val="000000"/>
          <w:sz w:val="21"/>
          <w:szCs w:val="21"/>
          <w:lang w:val="en-GB"/>
        </w:rPr>
        <w:t xml:space="preserve"> which</w:t>
      </w:r>
      <w:r w:rsidRPr="00EB6E65">
        <w:rPr>
          <w:rFonts w:cs="Arial"/>
          <w:color w:val="000000"/>
          <w:sz w:val="21"/>
          <w:szCs w:val="21"/>
          <w:lang w:val="en-GB"/>
        </w:rPr>
        <w:t xml:space="preserve"> displac</w:t>
      </w:r>
      <w:r>
        <w:rPr>
          <w:rFonts w:cs="Arial"/>
          <w:color w:val="000000"/>
          <w:sz w:val="21"/>
          <w:szCs w:val="21"/>
          <w:lang w:val="en-GB"/>
        </w:rPr>
        <w:t>es</w:t>
      </w:r>
      <w:r w:rsidRPr="00EB6E65">
        <w:rPr>
          <w:rFonts w:cs="Arial"/>
          <w:color w:val="000000"/>
          <w:sz w:val="21"/>
          <w:szCs w:val="21"/>
          <w:lang w:val="en-GB"/>
        </w:rPr>
        <w:t xml:space="preserve"> other third party brokers or entities </w:t>
      </w:r>
      <w:r>
        <w:rPr>
          <w:rFonts w:cs="Arial"/>
          <w:color w:val="000000"/>
          <w:sz w:val="21"/>
          <w:szCs w:val="21"/>
          <w:lang w:val="en-GB"/>
        </w:rPr>
        <w:t xml:space="preserve">used on a regular basis, then </w:t>
      </w:r>
      <w:r w:rsidRPr="00EB6E65">
        <w:rPr>
          <w:rFonts w:cs="Arial"/>
          <w:color w:val="000000"/>
          <w:sz w:val="21"/>
          <w:szCs w:val="21"/>
          <w:lang w:val="en-GB"/>
        </w:rPr>
        <w:t xml:space="preserve">the investment firm </w:t>
      </w:r>
      <w:r>
        <w:rPr>
          <w:rFonts w:cs="Arial"/>
          <w:color w:val="000000"/>
          <w:sz w:val="21"/>
          <w:szCs w:val="21"/>
          <w:lang w:val="en-GB"/>
        </w:rPr>
        <w:t>can</w:t>
      </w:r>
      <w:r w:rsidRPr="00EB6E65">
        <w:rPr>
          <w:rFonts w:cs="Arial"/>
          <w:color w:val="000000"/>
          <w:sz w:val="21"/>
          <w:szCs w:val="21"/>
          <w:lang w:val="en-GB"/>
        </w:rPr>
        <w:t xml:space="preserve"> provid</w:t>
      </w:r>
      <w:r>
        <w:rPr>
          <w:rFonts w:cs="Arial"/>
          <w:color w:val="000000"/>
          <w:sz w:val="21"/>
          <w:szCs w:val="21"/>
          <w:lang w:val="en-GB"/>
        </w:rPr>
        <w:t>e</w:t>
      </w:r>
      <w:r w:rsidRPr="00EB6E65">
        <w:rPr>
          <w:rFonts w:cs="Arial"/>
          <w:color w:val="000000"/>
          <w:sz w:val="21"/>
          <w:szCs w:val="21"/>
          <w:lang w:val="en-GB"/>
        </w:rPr>
        <w:t xml:space="preserve"> additional information </w:t>
      </w:r>
      <w:r>
        <w:rPr>
          <w:rFonts w:cs="Arial"/>
          <w:color w:val="000000"/>
          <w:sz w:val="21"/>
          <w:szCs w:val="21"/>
          <w:lang w:val="en-GB"/>
        </w:rPr>
        <w:t>on</w:t>
      </w:r>
      <w:r w:rsidRPr="00EB6E65">
        <w:rPr>
          <w:rFonts w:cs="Arial"/>
          <w:color w:val="000000"/>
          <w:sz w:val="21"/>
          <w:szCs w:val="21"/>
          <w:lang w:val="en-GB"/>
        </w:rPr>
        <w:t xml:space="preserve"> the entities it selects for execution services (in line with Recital 15 of RTS 28). </w:t>
      </w:r>
    </w:p>
    <w:p w14:paraId="76887F6E" w14:textId="3375EB8F" w:rsidR="00D70E81" w:rsidRDefault="00D70E81">
      <w:pPr>
        <w:rPr>
          <w:rFonts w:ascii="Helvetica" w:hAnsi="Helvetica" w:cs="Helvetica"/>
          <w:color w:val="18376A"/>
          <w:sz w:val="29"/>
          <w:szCs w:val="29"/>
          <w:lang w:val="en-GB"/>
        </w:rPr>
      </w:pPr>
      <w:r>
        <w:rPr>
          <w:rFonts w:ascii="Helvetica" w:hAnsi="Helvetica" w:cs="Helvetica"/>
          <w:color w:val="18376A"/>
          <w:sz w:val="29"/>
          <w:szCs w:val="29"/>
          <w:lang w:val="en-GB"/>
        </w:rPr>
        <w:br w:type="page"/>
      </w:r>
    </w:p>
    <w:p w14:paraId="118F3479" w14:textId="77777777" w:rsidR="000E1486" w:rsidRDefault="000E1486" w:rsidP="00F842B7">
      <w:pPr>
        <w:pStyle w:val="Heading2"/>
        <w:rPr>
          <w:lang w:val="en-GB"/>
        </w:rPr>
      </w:pPr>
      <w:bookmarkStart w:id="88" w:name="_Toc495562584"/>
      <w:r>
        <w:rPr>
          <w:lang w:val="en-GB"/>
        </w:rPr>
        <w:lastRenderedPageBreak/>
        <w:t>Timing of Reports</w:t>
      </w:r>
      <w:bookmarkEnd w:id="88"/>
    </w:p>
    <w:p w14:paraId="1B033F51" w14:textId="25ADA2FF" w:rsidR="006B4469" w:rsidRPr="00995AAB" w:rsidRDefault="00A116BD" w:rsidP="00995AAB">
      <w:pPr>
        <w:rPr>
          <w:lang w:val="en-GB"/>
        </w:rPr>
      </w:pPr>
      <w:r>
        <w:rPr>
          <w:lang w:val="en-GB"/>
        </w:rPr>
        <w:t xml:space="preserve">As per guidance in ESMA Q&amp;A on Investor Protection </w:t>
      </w:r>
      <w:r w:rsidR="00616B30">
        <w:rPr>
          <w:lang w:val="en-GB"/>
        </w:rPr>
        <w:t xml:space="preserve">Question 6 </w:t>
      </w:r>
      <w:r>
        <w:rPr>
          <w:lang w:val="en-GB"/>
        </w:rPr>
        <w:t>(dated July 10</w:t>
      </w:r>
      <w:r w:rsidRPr="00A116BD">
        <w:rPr>
          <w:vertAlign w:val="superscript"/>
          <w:lang w:val="en-GB"/>
        </w:rPr>
        <w:t>th</w:t>
      </w:r>
      <w:r>
        <w:rPr>
          <w:lang w:val="en-GB"/>
        </w:rPr>
        <w:t xml:space="preserve"> 2017), firms should release their first RTS 28 report (covering a full calendar year period) by the end of the fourth month of the calendar year in which the legislation enters into force (i.e. April 2018). </w:t>
      </w:r>
      <w:r w:rsidR="00616B30">
        <w:rPr>
          <w:lang w:val="en-GB"/>
        </w:rPr>
        <w:t xml:space="preserve">ESMA recognises that for the frst set of RTS 28 reports, investment firms may not be able to fully report on information which is not available or applicable in relation to the preceding year, which may mean the first report lacks detail.  However firms should complete information on the top five venues and a summary of the outcomes achieved on a best efforts basis in order to provide information to investors. </w:t>
      </w:r>
      <w:r>
        <w:rPr>
          <w:lang w:val="en-GB"/>
        </w:rPr>
        <w:t xml:space="preserve"> </w:t>
      </w:r>
    </w:p>
    <w:p w14:paraId="66A0CD75" w14:textId="77777777" w:rsidR="003F664D" w:rsidRPr="00995AAB" w:rsidRDefault="003F664D" w:rsidP="00995AAB"/>
    <w:p w14:paraId="41F6E2D6" w14:textId="77777777" w:rsidR="006B4469" w:rsidRPr="00B1175B" w:rsidRDefault="006B4469" w:rsidP="00AB2451">
      <w:r w:rsidRPr="00995AAB">
        <w:t>In mitigation of this situation, the FCA agreed that this first report should be completed on a ‘best efforts</w:t>
      </w:r>
      <w:r w:rsidR="002F6500" w:rsidRPr="00995AAB">
        <w:t>’ basis</w:t>
      </w:r>
      <w:r w:rsidRPr="00995AAB">
        <w:t xml:space="preserve">. It was agreed that, as ESMA would not have produced its tables setting out information on tick sizes for equities, that asset managers need not subdivide equities into three classes based on tick sizes, for this first set of reports. </w:t>
      </w:r>
    </w:p>
    <w:p w14:paraId="376903B5" w14:textId="77777777" w:rsidR="00AB2451" w:rsidRDefault="00AB2451" w:rsidP="00AB2451">
      <w:pPr>
        <w:rPr>
          <w:lang w:val="en-GB"/>
        </w:rPr>
      </w:pPr>
    </w:p>
    <w:p w14:paraId="6CCDF813" w14:textId="77777777" w:rsidR="00AD5637" w:rsidRPr="00995AAB" w:rsidRDefault="00AD5637" w:rsidP="00AB2451">
      <w:pPr>
        <w:rPr>
          <w:lang w:val="en-GB"/>
        </w:rPr>
      </w:pPr>
    </w:p>
    <w:p w14:paraId="52C1EF9E" w14:textId="77777777" w:rsidR="000E1486" w:rsidRDefault="000E1486">
      <w:r w:rsidRPr="00995AAB">
        <w:t xml:space="preserve">During the creation of these tables we have concentrated on the application and usefulness of the information provided to the end client.  The Buy Side has control over which counterparty that they execute with. Whilst that broker has a best execution obligation it is still necessary to show that the buy side uses the correct broker in the correct situation based on analysis of the quality of that broker’s execution.  </w:t>
      </w:r>
    </w:p>
    <w:p w14:paraId="4D182A51" w14:textId="77777777" w:rsidR="008C6B93" w:rsidRPr="00995AAB" w:rsidRDefault="008C6B93">
      <w:pPr>
        <w:rPr>
          <w:szCs w:val="20"/>
          <w:lang w:val="en-GB"/>
        </w:rPr>
      </w:pPr>
    </w:p>
    <w:p w14:paraId="63515FF2" w14:textId="77777777" w:rsidR="00BE7F6D" w:rsidRPr="00EB6E65" w:rsidRDefault="00BE7F6D" w:rsidP="00BE7F6D">
      <w:pPr>
        <w:widowControl w:val="0"/>
        <w:autoSpaceDE w:val="0"/>
        <w:autoSpaceDN w:val="0"/>
        <w:adjustRightInd w:val="0"/>
        <w:spacing w:after="240"/>
        <w:rPr>
          <w:rFonts w:cs="Times"/>
          <w:color w:val="000000"/>
          <w:sz w:val="21"/>
          <w:szCs w:val="21"/>
          <w:lang w:val="en-GB"/>
        </w:rPr>
      </w:pPr>
      <w:r w:rsidRPr="00EB6E65">
        <w:rPr>
          <w:rFonts w:cs="Arial"/>
          <w:color w:val="000000"/>
          <w:sz w:val="21"/>
          <w:szCs w:val="21"/>
          <w:lang w:val="en-GB"/>
        </w:rPr>
        <w:t xml:space="preserve">Investment firms providing portfolio management or reception and transmission of orders services are required to publish information that is consistent with the RTS 28 which includes, among others, data on passive and aggressive orders. The relevance of these descriptive terms in the context of portfolio managers will however vary according to the nature of the activities undertaken, the trading system used and the classes of financial instruments. If a portfolio manager, or a receiver and transmitter of orders, sends an order to an entity for execution (broker), the distinction between passive and aggressive orders as defined in Article 2 of RTS 28 is likely not relevant and will not need to be disclosed in the report to be published in accordance with Article 65(6) of the Delegated Regulation. </w:t>
      </w:r>
    </w:p>
    <w:p w14:paraId="43DAA121" w14:textId="77777777" w:rsidR="00BE7F6D" w:rsidRPr="00EB6E65" w:rsidRDefault="00BE7F6D" w:rsidP="00BE7F6D">
      <w:pPr>
        <w:widowControl w:val="0"/>
        <w:autoSpaceDE w:val="0"/>
        <w:autoSpaceDN w:val="0"/>
        <w:adjustRightInd w:val="0"/>
        <w:spacing w:after="240"/>
        <w:rPr>
          <w:rFonts w:cs="Times"/>
          <w:color w:val="000000"/>
          <w:sz w:val="21"/>
          <w:szCs w:val="21"/>
          <w:lang w:val="en-GB"/>
        </w:rPr>
      </w:pPr>
      <w:r w:rsidRPr="00EB6E65">
        <w:rPr>
          <w:rFonts w:cs="Arial"/>
          <w:color w:val="000000"/>
          <w:sz w:val="21"/>
          <w:szCs w:val="21"/>
          <w:lang w:val="en-GB"/>
        </w:rPr>
        <w:t xml:space="preserve">An exception to this is where the portfolio manager or transmitter of orders has attached a specific instruction to an order, and that instruction is understood to mean that the broker will execute the order in a fashion that is either passive or aggressive within the meaning of the definition provided under RTS 28. </w:t>
      </w:r>
    </w:p>
    <w:p w14:paraId="35643D24" w14:textId="77777777" w:rsidR="00BE7F6D" w:rsidRDefault="00BE7F6D" w:rsidP="00BE7F6D">
      <w:pPr>
        <w:widowControl w:val="0"/>
        <w:autoSpaceDE w:val="0"/>
        <w:autoSpaceDN w:val="0"/>
        <w:adjustRightInd w:val="0"/>
        <w:spacing w:after="240"/>
        <w:rPr>
          <w:rFonts w:cs="Arial"/>
          <w:color w:val="000000"/>
          <w:sz w:val="21"/>
          <w:szCs w:val="21"/>
          <w:lang w:val="en-GB"/>
        </w:rPr>
      </w:pPr>
      <w:r>
        <w:rPr>
          <w:rFonts w:cs="Arial"/>
          <w:color w:val="000000"/>
          <w:sz w:val="21"/>
          <w:szCs w:val="21"/>
          <w:lang w:val="en-GB"/>
        </w:rPr>
        <w:t>However, when a</w:t>
      </w:r>
      <w:r w:rsidRPr="00EB6E65">
        <w:rPr>
          <w:rFonts w:cs="Arial"/>
          <w:color w:val="000000"/>
          <w:sz w:val="21"/>
          <w:szCs w:val="21"/>
          <w:lang w:val="en-GB"/>
        </w:rPr>
        <w:t xml:space="preserve"> portfolio manager is executing orders directly on an execution venue then Article 27 of MiFID II and RTS 28 apply and the distinction between passive and aggressive will be relevant and should be disclosed in the report, where applicable. </w:t>
      </w:r>
    </w:p>
    <w:p w14:paraId="2E6E385F" w14:textId="5920020B" w:rsidR="00BE7F6D" w:rsidRDefault="00BE7F6D" w:rsidP="00F842B7">
      <w:pPr>
        <w:rPr>
          <w:rFonts w:cs="Arial"/>
          <w:color w:val="000000"/>
          <w:szCs w:val="20"/>
        </w:rPr>
      </w:pPr>
      <w:r w:rsidRPr="00995AAB">
        <w:rPr>
          <w:szCs w:val="20"/>
          <w:lang w:val="en-GB"/>
        </w:rPr>
        <w:t xml:space="preserve">In the case of Passive/Aggressive </w:t>
      </w:r>
      <w:r w:rsidRPr="00995AAB">
        <w:rPr>
          <w:rFonts w:cs="Arial"/>
          <w:color w:val="000000"/>
          <w:szCs w:val="20"/>
        </w:rPr>
        <w:t xml:space="preserve">on partial fill and fill order events the field will be populated to  indicate whether the order was already resting on the order book and providing liquidity (passive) or the order initiated the trade and thus took liquidity (aggressive).  </w:t>
      </w:r>
      <w:r w:rsidR="00FC6AC2">
        <w:rPr>
          <w:rFonts w:cs="Arial"/>
          <w:color w:val="000000"/>
          <w:szCs w:val="20"/>
        </w:rPr>
        <w:t>Broker capacity, market of execution and P</w:t>
      </w:r>
      <w:r w:rsidR="009F0C4A">
        <w:rPr>
          <w:rFonts w:cs="Arial"/>
          <w:color w:val="000000"/>
          <w:szCs w:val="20"/>
        </w:rPr>
        <w:t>a</w:t>
      </w:r>
      <w:r w:rsidR="00FC6AC2">
        <w:rPr>
          <w:rFonts w:cs="Arial"/>
          <w:color w:val="000000"/>
          <w:szCs w:val="20"/>
        </w:rPr>
        <w:t xml:space="preserve">ssive/Aggressive indicators </w:t>
      </w:r>
      <w:r>
        <w:rPr>
          <w:rFonts w:cs="Arial"/>
          <w:color w:val="000000"/>
          <w:szCs w:val="20"/>
        </w:rPr>
        <w:t>are required by investment firms in order to demonstrate they are taking all sufficient steps to deliver best execution for their clients and will be used in Article 3(3) discursive text.</w:t>
      </w:r>
    </w:p>
    <w:p w14:paraId="1EF56CBC" w14:textId="3EFC1A98" w:rsidR="00FC6AC2" w:rsidRDefault="00FC6AC2" w:rsidP="00F842B7">
      <w:pPr>
        <w:rPr>
          <w:rFonts w:cs="Arial"/>
          <w:color w:val="000000"/>
          <w:szCs w:val="20"/>
        </w:rPr>
      </w:pPr>
    </w:p>
    <w:p w14:paraId="6895184E" w14:textId="4D2C3652" w:rsidR="00FC6AC2" w:rsidRDefault="00FC6AC2" w:rsidP="00F842B7">
      <w:r>
        <w:rPr>
          <w:rFonts w:cs="Arial"/>
          <w:color w:val="000000"/>
          <w:szCs w:val="20"/>
        </w:rPr>
        <w:t xml:space="preserve">Please note that </w:t>
      </w:r>
      <w:r w:rsidRPr="00FC6AC2">
        <w:rPr>
          <w:rFonts w:cs="Arial"/>
          <w:color w:val="000000"/>
          <w:szCs w:val="20"/>
        </w:rPr>
        <w:t xml:space="preserve">“FIX Execution Venue Reporting Best Practice Guidelines” under </w:t>
      </w:r>
      <w:hyperlink r:id="rId32" w:history="1">
        <w:r w:rsidRPr="00C84D11">
          <w:rPr>
            <w:rStyle w:val="Hyperlink"/>
            <w:rFonts w:cs="Arial"/>
            <w:szCs w:val="20"/>
          </w:rPr>
          <w:t>https://www.fixtrading.org/recommended-practicesguidelines/</w:t>
        </w:r>
      </w:hyperlink>
      <w:r>
        <w:rPr>
          <w:rFonts w:cs="Arial"/>
          <w:color w:val="000000"/>
          <w:szCs w:val="20"/>
        </w:rPr>
        <w:t xml:space="preserve"> does reference explicit tags</w:t>
      </w:r>
      <w:r w:rsidR="009F0C4A">
        <w:rPr>
          <w:rFonts w:cs="Arial"/>
          <w:color w:val="000000"/>
          <w:szCs w:val="20"/>
        </w:rPr>
        <w:t xml:space="preserve"> and provides details on </w:t>
      </w:r>
      <w:r w:rsidR="009F0C4A">
        <w:rPr>
          <w:lang w:val="en-GB"/>
        </w:rPr>
        <w:t>Broker capacity (Tag 29), market of execution (Tag 30) and Passive/Aggressive indicators (Tag 851).</w:t>
      </w:r>
    </w:p>
    <w:p w14:paraId="3B48363E" w14:textId="77777777" w:rsidR="00BE7F6D" w:rsidRPr="00F842B7" w:rsidRDefault="00BE7F6D" w:rsidP="00F842B7"/>
    <w:p w14:paraId="7AE36836" w14:textId="77777777" w:rsidR="000E1486" w:rsidRDefault="008C6B93">
      <w:pPr>
        <w:rPr>
          <w:lang w:val="en-GB"/>
        </w:rPr>
      </w:pPr>
      <w:r w:rsidRPr="00995AAB">
        <w:rPr>
          <w:szCs w:val="20"/>
          <w:lang w:val="en-GB"/>
        </w:rPr>
        <w:t xml:space="preserve">Directed orders </w:t>
      </w:r>
      <w:r w:rsidR="00C92BA9" w:rsidRPr="00995AAB">
        <w:rPr>
          <w:szCs w:val="20"/>
          <w:lang w:val="en-GB"/>
        </w:rPr>
        <w:t xml:space="preserve">under Article 65 </w:t>
      </w:r>
      <w:r w:rsidRPr="00995AAB">
        <w:rPr>
          <w:szCs w:val="20"/>
          <w:lang w:val="en-GB"/>
        </w:rPr>
        <w:t>refer to when the trader responsible for execution does not have discretion as to where to execute</w:t>
      </w:r>
      <w:r w:rsidR="00C92BA9" w:rsidRPr="00995AAB">
        <w:rPr>
          <w:szCs w:val="20"/>
          <w:lang w:val="en-GB"/>
        </w:rPr>
        <w:t xml:space="preserve"> the trade.</w:t>
      </w:r>
      <w:r w:rsidR="00C92BA9">
        <w:rPr>
          <w:lang w:val="en-GB"/>
        </w:rPr>
        <w:t xml:space="preserve"> </w:t>
      </w:r>
    </w:p>
    <w:p w14:paraId="55FC01F8" w14:textId="77777777" w:rsidR="008C6456" w:rsidRDefault="008C6456">
      <w:pPr>
        <w:rPr>
          <w:lang w:val="en-GB"/>
        </w:rPr>
      </w:pPr>
    </w:p>
    <w:p w14:paraId="69A25EBC" w14:textId="1667FA0E" w:rsidR="008C6456" w:rsidRPr="008C6456" w:rsidRDefault="008C6456" w:rsidP="008C6456">
      <w:pPr>
        <w:rPr>
          <w:b/>
          <w:lang w:val="en-GB"/>
        </w:rPr>
      </w:pPr>
      <w:r>
        <w:rPr>
          <w:b/>
          <w:lang w:val="en-GB"/>
        </w:rPr>
        <w:lastRenderedPageBreak/>
        <w:t>The</w:t>
      </w:r>
      <w:r w:rsidRPr="008C6456">
        <w:rPr>
          <w:b/>
          <w:lang w:val="en-GB"/>
        </w:rPr>
        <w:t xml:space="preserve"> reports described in table 1 and 2 should exclude all the orders for SFT.</w:t>
      </w:r>
    </w:p>
    <w:p w14:paraId="055D662E" w14:textId="77777777" w:rsidR="00ED6650" w:rsidRDefault="00ED6650">
      <w:pPr>
        <w:rPr>
          <w:lang w:val="en-GB"/>
        </w:rPr>
      </w:pPr>
    </w:p>
    <w:p w14:paraId="5569F41A" w14:textId="25B98933" w:rsidR="00ED6650" w:rsidRDefault="00ED6650" w:rsidP="00ED6650">
      <w:pPr>
        <w:pStyle w:val="Heading2"/>
        <w:rPr>
          <w:lang w:val="en-GB"/>
        </w:rPr>
      </w:pPr>
      <w:bookmarkStart w:id="89" w:name="_Toc495562585"/>
      <w:r>
        <w:rPr>
          <w:lang w:val="en-GB"/>
        </w:rPr>
        <w:t>Accessibility of Reports</w:t>
      </w:r>
      <w:bookmarkEnd w:id="89"/>
    </w:p>
    <w:p w14:paraId="56991D34" w14:textId="437C4C63" w:rsidR="00ED6650" w:rsidRDefault="00ED6650" w:rsidP="00ED6650">
      <w:pPr>
        <w:pStyle w:val="CommentText"/>
      </w:pPr>
      <w:r>
        <w:t>Under latest ESMA Q&amp;A guidance (10 July 2017) execution venues and firms are reuired to make the RTS 28 reports available to the public, without any charges, in a machine readable and electronic format.</w:t>
      </w:r>
    </w:p>
    <w:p w14:paraId="4B023DEA" w14:textId="6EA28560" w:rsidR="00ED6650" w:rsidRDefault="00ED6650" w:rsidP="00ED6650">
      <w:pPr>
        <w:pStyle w:val="CommentText"/>
      </w:pPr>
      <w:r>
        <w:t xml:space="preserve">The regulatory objective is that industry participants should be able to compare execution performance, depth of liquidity and speed of execution between multiple investment firms across the same asset class.  </w:t>
      </w:r>
    </w:p>
    <w:p w14:paraId="1E6A7BF7" w14:textId="77777777" w:rsidR="00ED6650" w:rsidRDefault="00ED6650" w:rsidP="00ED6650">
      <w:pPr>
        <w:pStyle w:val="CommentText"/>
      </w:pPr>
      <w:r>
        <w:t xml:space="preserve">To ensure that such reports are freely accessible, firms should publish these reports on their respective websites in an easily identifiable location on a page without any access limitiations.  ESMA notes in Q&amp;A guidance that these preorts should not be placed behind a firewall, registration page or be subject to password encryption or other restrictions. </w:t>
      </w:r>
    </w:p>
    <w:p w14:paraId="72179911" w14:textId="77777777" w:rsidR="00ED6650" w:rsidRDefault="00ED6650" w:rsidP="00ED6650">
      <w:pPr>
        <w:rPr>
          <w:lang w:val="en-GB"/>
        </w:rPr>
      </w:pPr>
    </w:p>
    <w:p w14:paraId="0E5812EC" w14:textId="3BFB35CA" w:rsidR="00ED6650" w:rsidRPr="003011B1" w:rsidRDefault="00ED6650" w:rsidP="00ED6650">
      <w:pPr>
        <w:rPr>
          <w:lang w:val="en-GB"/>
        </w:rPr>
      </w:pPr>
      <w:r>
        <w:rPr>
          <w:lang w:val="en-GB"/>
        </w:rPr>
        <w:t>As the file must be machine readable, the FIX Trading Community</w:t>
      </w:r>
      <w:r w:rsidRPr="003011B1">
        <w:rPr>
          <w:lang w:val="en-GB"/>
        </w:rPr>
        <w:t xml:space="preserve"> recommend</w:t>
      </w:r>
      <w:r>
        <w:rPr>
          <w:lang w:val="en-GB"/>
        </w:rPr>
        <w:t>s</w:t>
      </w:r>
      <w:r w:rsidRPr="003011B1">
        <w:rPr>
          <w:lang w:val="en-GB"/>
        </w:rPr>
        <w:t xml:space="preserve"> provid</w:t>
      </w:r>
      <w:r>
        <w:rPr>
          <w:lang w:val="en-GB"/>
        </w:rPr>
        <w:t>ing</w:t>
      </w:r>
      <w:r w:rsidRPr="003011B1">
        <w:rPr>
          <w:lang w:val="en-GB"/>
        </w:rPr>
        <w:t xml:space="preserve"> this </w:t>
      </w:r>
      <w:r>
        <w:rPr>
          <w:lang w:val="en-GB"/>
        </w:rPr>
        <w:t xml:space="preserve">data </w:t>
      </w:r>
      <w:r w:rsidRPr="003011B1">
        <w:rPr>
          <w:lang w:val="en-GB"/>
        </w:rPr>
        <w:t xml:space="preserve">using XML schema.  </w:t>
      </w:r>
      <w:r w:rsidR="00275221" w:rsidRPr="00275221">
        <w:rPr>
          <w:lang w:val="en-GB"/>
        </w:rPr>
        <w:t>FIX Extension Packs EP231 (RTS 27) and EP236 (RTS 28) are being provided by the GTC.</w:t>
      </w:r>
    </w:p>
    <w:p w14:paraId="76886547" w14:textId="2F4B5F66" w:rsidR="008C6456" w:rsidRDefault="008C6456">
      <w:pPr>
        <w:rPr>
          <w:lang w:val="en-GB"/>
        </w:rPr>
      </w:pPr>
    </w:p>
    <w:p w14:paraId="758065A3" w14:textId="77777777" w:rsidR="008C6456" w:rsidRDefault="008C6456">
      <w:pPr>
        <w:rPr>
          <w:lang w:val="en-GB"/>
        </w:rPr>
      </w:pPr>
    </w:p>
    <w:p w14:paraId="5BCE1B3B" w14:textId="77777777" w:rsidR="00AB2451" w:rsidRPr="00995AAB" w:rsidRDefault="00AB2451" w:rsidP="00995AAB">
      <w:pPr>
        <w:pStyle w:val="Heading2"/>
        <w:rPr>
          <w:lang w:val="en-GB"/>
        </w:rPr>
      </w:pPr>
      <w:bookmarkStart w:id="90" w:name="_Toc475388842"/>
      <w:bookmarkStart w:id="91" w:name="_Toc475388843"/>
      <w:bookmarkStart w:id="92" w:name="_Toc475388844"/>
      <w:bookmarkStart w:id="93" w:name="_Toc475388845"/>
      <w:bookmarkStart w:id="94" w:name="_Toc475388846"/>
      <w:bookmarkStart w:id="95" w:name="_Toc475388847"/>
      <w:bookmarkStart w:id="96" w:name="_Toc475388848"/>
      <w:bookmarkStart w:id="97" w:name="_Toc475388849"/>
      <w:bookmarkStart w:id="98" w:name="_Toc475388850"/>
      <w:bookmarkStart w:id="99" w:name="_Toc495562586"/>
      <w:bookmarkEnd w:id="90"/>
      <w:bookmarkEnd w:id="91"/>
      <w:bookmarkEnd w:id="92"/>
      <w:bookmarkEnd w:id="93"/>
      <w:bookmarkEnd w:id="94"/>
      <w:bookmarkEnd w:id="95"/>
      <w:bookmarkEnd w:id="96"/>
      <w:bookmarkEnd w:id="97"/>
      <w:bookmarkEnd w:id="98"/>
      <w:r w:rsidRPr="00995AAB">
        <w:rPr>
          <w:lang w:val="en-GB"/>
        </w:rPr>
        <w:t>Table 1 - Article 3(1)</w:t>
      </w:r>
      <w:bookmarkEnd w:id="99"/>
    </w:p>
    <w:p w14:paraId="0CF785BF" w14:textId="77777777" w:rsidR="00AB2451" w:rsidRPr="00995AAB" w:rsidRDefault="00AB2451" w:rsidP="00AB2451">
      <w:pPr>
        <w:rPr>
          <w:lang w:val="en-GB"/>
        </w:rPr>
      </w:pPr>
    </w:p>
    <w:p w14:paraId="0ED2A5AA" w14:textId="52598C1A" w:rsidR="00AD5637" w:rsidRPr="00A23168" w:rsidRDefault="00AD5637" w:rsidP="00AD5637">
      <w:pPr>
        <w:rPr>
          <w:b/>
        </w:rPr>
      </w:pPr>
      <w:r w:rsidRPr="00AD5637">
        <w:rPr>
          <w:b/>
        </w:rPr>
        <w:t xml:space="preserve"> </w:t>
      </w:r>
      <w:r w:rsidRPr="00A23168">
        <w:rPr>
          <w:b/>
        </w:rPr>
        <w:t>Sell Side or Buy Side with significant di</w:t>
      </w:r>
      <w:r w:rsidR="008C6B93">
        <w:rPr>
          <w:b/>
        </w:rPr>
        <w:t>rect access to market trading</w:t>
      </w:r>
      <w:r w:rsidR="0020047D">
        <w:rPr>
          <w:b/>
        </w:rPr>
        <w:t xml:space="preserve"> or trading against an SI </w:t>
      </w:r>
    </w:p>
    <w:p w14:paraId="422A23DA" w14:textId="77777777" w:rsidR="00AD5637" w:rsidRDefault="00AD5637" w:rsidP="00AD5637"/>
    <w:p w14:paraId="65AE4BC4" w14:textId="77777777" w:rsidR="00AD5637" w:rsidRDefault="00AD5637" w:rsidP="00AD5637">
      <w:r>
        <w:t>Assumed that Tag 851 is used as the Passive/Aggressive Indicator</w:t>
      </w:r>
    </w:p>
    <w:p w14:paraId="6A9D9BC8" w14:textId="77777777" w:rsidR="00AD5637" w:rsidRDefault="00AD5637" w:rsidP="00AD5637"/>
    <w:p w14:paraId="3B6E31FB" w14:textId="77777777" w:rsidR="00AD5637" w:rsidRDefault="00AD5637" w:rsidP="00A9410B">
      <w:pPr>
        <w:pStyle w:val="ListParagraph"/>
        <w:numPr>
          <w:ilvl w:val="0"/>
          <w:numId w:val="6"/>
        </w:numPr>
      </w:pPr>
      <w:r>
        <w:t>Class of Instrument according to Appendix 1 Equities will not be subdivided by tick size in 2018 report</w:t>
      </w:r>
    </w:p>
    <w:p w14:paraId="0D803A5C" w14:textId="77777777" w:rsidR="00AD5637" w:rsidRDefault="00AD5637" w:rsidP="00A9410B">
      <w:pPr>
        <w:pStyle w:val="ListParagraph"/>
        <w:numPr>
          <w:ilvl w:val="0"/>
          <w:numId w:val="6"/>
        </w:numPr>
      </w:pPr>
      <w:r>
        <w:t>Whether or not there were on average more than one trade a day in this instrument class.  Logic =  Total no. trades/250</w:t>
      </w:r>
    </w:p>
    <w:p w14:paraId="0B4B9C8A" w14:textId="77777777" w:rsidR="00AD5637" w:rsidRPr="00F842B7" w:rsidRDefault="00AD5637" w:rsidP="00A9410B">
      <w:pPr>
        <w:pStyle w:val="ListParagraph"/>
        <w:numPr>
          <w:ilvl w:val="0"/>
          <w:numId w:val="6"/>
        </w:numPr>
      </w:pPr>
      <w:r w:rsidRPr="00F842B7">
        <w:t>Venue of execution.  For sell side this will typically be MIC</w:t>
      </w:r>
      <w:r w:rsidR="0047476D" w:rsidRPr="00F842B7">
        <w:t xml:space="preserve">. </w:t>
      </w:r>
    </w:p>
    <w:p w14:paraId="6EC107B0" w14:textId="199AF6F4" w:rsidR="00AD5637" w:rsidRPr="000D27E0" w:rsidRDefault="0020047D" w:rsidP="00A9410B">
      <w:pPr>
        <w:pStyle w:val="ListParagraph"/>
        <w:numPr>
          <w:ilvl w:val="0"/>
          <w:numId w:val="6"/>
        </w:numPr>
      </w:pPr>
      <w:r w:rsidRPr="000D27E0">
        <w:t xml:space="preserve">Notional </w:t>
      </w:r>
      <w:r w:rsidR="00AD5637" w:rsidRPr="000D27E0">
        <w:t xml:space="preserve">of trades within that class of trade </w:t>
      </w:r>
      <w:r w:rsidR="000E6FDC" w:rsidRPr="000D27E0">
        <w:t>e.g.</w:t>
      </w:r>
      <w:r w:rsidR="00AD5637" w:rsidRPr="000D27E0">
        <w:t xml:space="preserve"> </w:t>
      </w:r>
      <w:r w:rsidRPr="000D27E0">
        <w:t xml:space="preserve">Notional </w:t>
      </w:r>
      <w:r w:rsidR="00AD5637" w:rsidRPr="000D27E0">
        <w:t>of Equity</w:t>
      </w:r>
      <w:r w:rsidRPr="000D27E0">
        <w:t xml:space="preserve"> t</w:t>
      </w:r>
      <w:r w:rsidR="005B5D2E" w:rsidRPr="000D27E0">
        <w:t>r</w:t>
      </w:r>
      <w:r w:rsidRPr="000D27E0">
        <w:t>ades</w:t>
      </w:r>
      <w:r w:rsidR="00AD5637" w:rsidRPr="000D27E0">
        <w:t xml:space="preserve"> with Broker X/Total </w:t>
      </w:r>
      <w:r w:rsidRPr="000D27E0">
        <w:t xml:space="preserve">Notional </w:t>
      </w:r>
      <w:r w:rsidR="00AD5637" w:rsidRPr="000D27E0">
        <w:t>of</w:t>
      </w:r>
      <w:r w:rsidRPr="000D27E0">
        <w:t xml:space="preserve"> all</w:t>
      </w:r>
      <w:r w:rsidR="00AD5637" w:rsidRPr="000D27E0">
        <w:t xml:space="preserve"> Equity </w:t>
      </w:r>
    </w:p>
    <w:p w14:paraId="7E50D58F" w14:textId="6900ACFB" w:rsidR="00AD5637" w:rsidRDefault="00AD5637" w:rsidP="00A9410B">
      <w:pPr>
        <w:pStyle w:val="ListParagraph"/>
        <w:numPr>
          <w:ilvl w:val="0"/>
          <w:numId w:val="6"/>
        </w:numPr>
      </w:pPr>
      <w:r>
        <w:t xml:space="preserve">Number of </w:t>
      </w:r>
      <w:r w:rsidR="0020047D">
        <w:t xml:space="preserve">allocations </w:t>
      </w:r>
      <w:r>
        <w:t xml:space="preserve">within that class of trade </w:t>
      </w:r>
      <w:r w:rsidR="000E6FDC">
        <w:t>e.g.</w:t>
      </w:r>
      <w:r>
        <w:t xml:space="preserve"> Number of Equity </w:t>
      </w:r>
      <w:r w:rsidR="0020047D">
        <w:t xml:space="preserve">allocations </w:t>
      </w:r>
      <w:r>
        <w:t xml:space="preserve">with Broker X/Total Number of Equity </w:t>
      </w:r>
    </w:p>
    <w:p w14:paraId="7E1DBB11" w14:textId="77777777" w:rsidR="00AD5637" w:rsidRDefault="00AD5637" w:rsidP="00A9410B">
      <w:pPr>
        <w:pStyle w:val="ListParagraph"/>
        <w:numPr>
          <w:ilvl w:val="0"/>
          <w:numId w:val="6"/>
        </w:numPr>
      </w:pPr>
      <w:r>
        <w:t>Percentage of trades with that LEI/MIC that Tag 851 returns as Passive</w:t>
      </w:r>
      <w:r w:rsidR="0047476D">
        <w:t xml:space="preserve"> where the venue returns the passive/aggressive tag against the relevant MIC</w:t>
      </w:r>
    </w:p>
    <w:p w14:paraId="559E7F93" w14:textId="77777777" w:rsidR="0047476D" w:rsidRDefault="00AD5637" w:rsidP="00A9410B">
      <w:pPr>
        <w:pStyle w:val="ListParagraph"/>
        <w:numPr>
          <w:ilvl w:val="0"/>
          <w:numId w:val="6"/>
        </w:numPr>
      </w:pPr>
      <w:r>
        <w:t>Percentage of trades with that LEI/MIC that Tag 851 returns as Aggressive</w:t>
      </w:r>
      <w:r w:rsidR="0047476D">
        <w:t xml:space="preserve"> where the venue returns the passive/aggressive tag against the relevant MIC</w:t>
      </w:r>
    </w:p>
    <w:p w14:paraId="3C9102BE" w14:textId="77777777" w:rsidR="00AD5637" w:rsidRDefault="00AD5637" w:rsidP="00A9410B">
      <w:pPr>
        <w:pStyle w:val="ListParagraph"/>
        <w:numPr>
          <w:ilvl w:val="0"/>
          <w:numId w:val="6"/>
        </w:numPr>
      </w:pPr>
      <w:r>
        <w:t xml:space="preserve">Percentage of trades with that LEI/MIC </w:t>
      </w:r>
      <w:r w:rsidR="00E34465">
        <w:t xml:space="preserve">resulting from orders </w:t>
      </w:r>
      <w:r>
        <w:t xml:space="preserve">considered to be Directed Orders </w:t>
      </w:r>
      <w:r w:rsidR="000E6FDC">
        <w:t>e.g.</w:t>
      </w:r>
      <w:r>
        <w:t xml:space="preserve"> An order whose execution destination has been decided by the client not the execution desk or sell side trader.</w:t>
      </w:r>
    </w:p>
    <w:p w14:paraId="222312C9" w14:textId="77777777" w:rsidR="00AD5637" w:rsidRDefault="00AD5637" w:rsidP="00AD5637"/>
    <w:tbl>
      <w:tblPr>
        <w:tblStyle w:val="TableGrid"/>
        <w:tblpPr w:leftFromText="180" w:rightFromText="180" w:vertAnchor="page" w:horzAnchor="page" w:tblpX="1610" w:tblpY="7925"/>
        <w:tblW w:w="9634" w:type="dxa"/>
        <w:tblLayout w:type="fixed"/>
        <w:tblLook w:val="04A0" w:firstRow="1" w:lastRow="0" w:firstColumn="1" w:lastColumn="0" w:noHBand="0" w:noVBand="1"/>
      </w:tblPr>
      <w:tblGrid>
        <w:gridCol w:w="3239"/>
        <w:gridCol w:w="1292"/>
        <w:gridCol w:w="1276"/>
        <w:gridCol w:w="1276"/>
        <w:gridCol w:w="1276"/>
        <w:gridCol w:w="1275"/>
      </w:tblGrid>
      <w:tr w:rsidR="00C92BA9" w:rsidRPr="004A7AC0" w14:paraId="5D9CE3EF" w14:textId="77777777" w:rsidTr="00F842B7">
        <w:trPr>
          <w:trHeight w:val="360"/>
        </w:trPr>
        <w:tc>
          <w:tcPr>
            <w:tcW w:w="3239" w:type="dxa"/>
            <w:noWrap/>
            <w:hideMark/>
          </w:tcPr>
          <w:p w14:paraId="369461BE" w14:textId="77777777" w:rsidR="00C92BA9" w:rsidRPr="004A7AC0" w:rsidRDefault="00C92BA9" w:rsidP="008C6456">
            <w:pPr>
              <w:jc w:val="center"/>
            </w:pPr>
            <w:r w:rsidRPr="004A7AC0">
              <w:lastRenderedPageBreak/>
              <w:t xml:space="preserve">Class of Instrument </w:t>
            </w:r>
            <w:r w:rsidRPr="004A7AC0">
              <w:rPr>
                <w:b/>
              </w:rPr>
              <w:t>(1)</w:t>
            </w:r>
          </w:p>
        </w:tc>
        <w:tc>
          <w:tcPr>
            <w:tcW w:w="6395" w:type="dxa"/>
            <w:gridSpan w:val="5"/>
            <w:noWrap/>
            <w:hideMark/>
          </w:tcPr>
          <w:p w14:paraId="75767CC1" w14:textId="77777777" w:rsidR="00C92BA9" w:rsidRPr="004A7AC0" w:rsidRDefault="00C92BA9" w:rsidP="008C6456">
            <w:pPr>
              <w:jc w:val="center"/>
            </w:pPr>
            <w:r w:rsidRPr="004A7AC0">
              <w:t xml:space="preserve">Equities </w:t>
            </w:r>
          </w:p>
        </w:tc>
      </w:tr>
      <w:tr w:rsidR="00C92BA9" w:rsidRPr="004A7AC0" w14:paraId="30318FEC" w14:textId="77777777" w:rsidTr="00F842B7">
        <w:trPr>
          <w:trHeight w:val="360"/>
        </w:trPr>
        <w:tc>
          <w:tcPr>
            <w:tcW w:w="3239" w:type="dxa"/>
            <w:noWrap/>
            <w:hideMark/>
          </w:tcPr>
          <w:p w14:paraId="66E13059" w14:textId="77777777" w:rsidR="00C92BA9" w:rsidRPr="004A7AC0" w:rsidRDefault="00C92BA9" w:rsidP="008C6456">
            <w:pPr>
              <w:jc w:val="center"/>
            </w:pPr>
            <w:r w:rsidRPr="004A7AC0">
              <w:t xml:space="preserve">Notification if &lt;1 average trade per business day in the previous year  </w:t>
            </w:r>
            <w:r w:rsidRPr="004A7AC0">
              <w:rPr>
                <w:b/>
              </w:rPr>
              <w:t>(2)</w:t>
            </w:r>
          </w:p>
        </w:tc>
        <w:tc>
          <w:tcPr>
            <w:tcW w:w="6395" w:type="dxa"/>
            <w:gridSpan w:val="5"/>
            <w:noWrap/>
            <w:vAlign w:val="center"/>
            <w:hideMark/>
          </w:tcPr>
          <w:p w14:paraId="6808AF14" w14:textId="77777777" w:rsidR="00C92BA9" w:rsidRPr="004A7AC0" w:rsidRDefault="00C92BA9" w:rsidP="008C6456">
            <w:pPr>
              <w:jc w:val="center"/>
            </w:pPr>
            <w:r w:rsidRPr="004A7AC0">
              <w:t>N</w:t>
            </w:r>
          </w:p>
        </w:tc>
      </w:tr>
      <w:tr w:rsidR="00C92BA9" w:rsidRPr="004A7AC0" w14:paraId="1094DFAD" w14:textId="77777777" w:rsidTr="00F842B7">
        <w:trPr>
          <w:trHeight w:val="1215"/>
        </w:trPr>
        <w:tc>
          <w:tcPr>
            <w:tcW w:w="3239" w:type="dxa"/>
            <w:hideMark/>
          </w:tcPr>
          <w:p w14:paraId="786B1BA9" w14:textId="77777777" w:rsidR="00C92BA9" w:rsidRPr="004A7AC0" w:rsidRDefault="00C92BA9" w:rsidP="008C6456">
            <w:pPr>
              <w:jc w:val="center"/>
            </w:pPr>
            <w:r w:rsidRPr="004A7AC0">
              <w:t xml:space="preserve">Top five execution venues ranked in terms of trading volumes (descending order)  </w:t>
            </w:r>
            <w:r w:rsidRPr="004A7AC0">
              <w:rPr>
                <w:b/>
              </w:rPr>
              <w:t>(3)</w:t>
            </w:r>
          </w:p>
        </w:tc>
        <w:tc>
          <w:tcPr>
            <w:tcW w:w="1292" w:type="dxa"/>
            <w:hideMark/>
          </w:tcPr>
          <w:p w14:paraId="401114CF" w14:textId="77777777" w:rsidR="00C92BA9" w:rsidRPr="004A7AC0" w:rsidRDefault="00C92BA9" w:rsidP="008C6456">
            <w:pPr>
              <w:jc w:val="center"/>
            </w:pPr>
            <w:r w:rsidRPr="004A7AC0">
              <w:t xml:space="preserve">Proportion of volume traded as a percentage of total in that class </w:t>
            </w:r>
            <w:r w:rsidRPr="004A7AC0">
              <w:rPr>
                <w:b/>
              </w:rPr>
              <w:t>(4)</w:t>
            </w:r>
          </w:p>
        </w:tc>
        <w:tc>
          <w:tcPr>
            <w:tcW w:w="1276" w:type="dxa"/>
            <w:hideMark/>
          </w:tcPr>
          <w:p w14:paraId="6A58311F" w14:textId="77777777" w:rsidR="00C92BA9" w:rsidRPr="004A7AC0" w:rsidRDefault="00C92BA9" w:rsidP="008C6456">
            <w:pPr>
              <w:jc w:val="center"/>
            </w:pPr>
            <w:r w:rsidRPr="004A7AC0">
              <w:t xml:space="preserve">Proportion of orders executed as percentage of total in that class </w:t>
            </w:r>
            <w:r w:rsidRPr="004A7AC0">
              <w:rPr>
                <w:b/>
              </w:rPr>
              <w:t>(5)</w:t>
            </w:r>
          </w:p>
        </w:tc>
        <w:tc>
          <w:tcPr>
            <w:tcW w:w="1276" w:type="dxa"/>
            <w:hideMark/>
          </w:tcPr>
          <w:p w14:paraId="54616FFE" w14:textId="77777777" w:rsidR="00C92BA9" w:rsidRPr="004A7AC0" w:rsidRDefault="00C92BA9" w:rsidP="008C6456">
            <w:pPr>
              <w:jc w:val="center"/>
            </w:pPr>
            <w:r w:rsidRPr="004A7AC0">
              <w:t xml:space="preserve">Percentage of passive orders </w:t>
            </w:r>
            <w:r w:rsidRPr="004A7AC0">
              <w:rPr>
                <w:b/>
              </w:rPr>
              <w:t>(6)</w:t>
            </w:r>
          </w:p>
        </w:tc>
        <w:tc>
          <w:tcPr>
            <w:tcW w:w="1276" w:type="dxa"/>
            <w:hideMark/>
          </w:tcPr>
          <w:p w14:paraId="3912352C" w14:textId="77777777" w:rsidR="00C92BA9" w:rsidRPr="004A7AC0" w:rsidRDefault="00C92BA9" w:rsidP="008C6456">
            <w:pPr>
              <w:jc w:val="center"/>
            </w:pPr>
            <w:r w:rsidRPr="004A7AC0">
              <w:t xml:space="preserve">Percentage of aggressive orders </w:t>
            </w:r>
          </w:p>
          <w:p w14:paraId="0A8EA0EB" w14:textId="77777777" w:rsidR="00C92BA9" w:rsidRPr="004A7AC0" w:rsidRDefault="00C92BA9" w:rsidP="008C6456">
            <w:pPr>
              <w:jc w:val="center"/>
            </w:pPr>
            <w:r w:rsidRPr="004A7AC0">
              <w:rPr>
                <w:b/>
              </w:rPr>
              <w:t>(7)</w:t>
            </w:r>
          </w:p>
        </w:tc>
        <w:tc>
          <w:tcPr>
            <w:tcW w:w="1275" w:type="dxa"/>
            <w:hideMark/>
          </w:tcPr>
          <w:p w14:paraId="1CC0193C" w14:textId="49359DA9" w:rsidR="00C92BA9" w:rsidRPr="004A7AC0" w:rsidRDefault="00C92BA9" w:rsidP="008C6456">
            <w:pPr>
              <w:jc w:val="center"/>
            </w:pPr>
            <w:r w:rsidRPr="004A7AC0">
              <w:t xml:space="preserve">Percentage of directed orders </w:t>
            </w:r>
            <w:r w:rsidRPr="004A7AC0">
              <w:rPr>
                <w:b/>
              </w:rPr>
              <w:t>(8)</w:t>
            </w:r>
            <w:r w:rsidR="00D00141">
              <w:rPr>
                <w:b/>
              </w:rPr>
              <w:t>(</w:t>
            </w:r>
          </w:p>
        </w:tc>
      </w:tr>
      <w:tr w:rsidR="00C92BA9" w:rsidRPr="004A7AC0" w14:paraId="3AA2DBDD" w14:textId="77777777" w:rsidTr="00F842B7">
        <w:trPr>
          <w:trHeight w:val="360"/>
        </w:trPr>
        <w:tc>
          <w:tcPr>
            <w:tcW w:w="3239" w:type="dxa"/>
            <w:noWrap/>
            <w:vAlign w:val="center"/>
            <w:hideMark/>
          </w:tcPr>
          <w:p w14:paraId="3A55B143" w14:textId="77777777" w:rsidR="00C92BA9" w:rsidRPr="004A7AC0" w:rsidRDefault="00C92BA9" w:rsidP="008C6456">
            <w:pPr>
              <w:jc w:val="center"/>
            </w:pPr>
            <w:r w:rsidRPr="004A7AC0">
              <w:t>BATS Europe  BCXE</w:t>
            </w:r>
          </w:p>
        </w:tc>
        <w:tc>
          <w:tcPr>
            <w:tcW w:w="1292" w:type="dxa"/>
            <w:noWrap/>
            <w:vAlign w:val="center"/>
            <w:hideMark/>
          </w:tcPr>
          <w:p w14:paraId="047E20C6" w14:textId="77777777" w:rsidR="00C92BA9" w:rsidRPr="004A7AC0" w:rsidRDefault="00C92BA9" w:rsidP="008C6456">
            <w:pPr>
              <w:jc w:val="center"/>
            </w:pPr>
            <w:r w:rsidRPr="004A7AC0">
              <w:t>16.3%</w:t>
            </w:r>
          </w:p>
        </w:tc>
        <w:tc>
          <w:tcPr>
            <w:tcW w:w="1276" w:type="dxa"/>
            <w:noWrap/>
            <w:vAlign w:val="center"/>
            <w:hideMark/>
          </w:tcPr>
          <w:p w14:paraId="75BBFFB4" w14:textId="77777777" w:rsidR="00C92BA9" w:rsidRPr="004A7AC0" w:rsidRDefault="00C92BA9" w:rsidP="008C6456">
            <w:pPr>
              <w:jc w:val="center"/>
            </w:pPr>
            <w:r w:rsidRPr="004A7AC0">
              <w:t>21.3%</w:t>
            </w:r>
          </w:p>
        </w:tc>
        <w:tc>
          <w:tcPr>
            <w:tcW w:w="1276" w:type="dxa"/>
            <w:noWrap/>
            <w:vAlign w:val="center"/>
            <w:hideMark/>
          </w:tcPr>
          <w:p w14:paraId="484D89F0" w14:textId="77777777" w:rsidR="00C92BA9" w:rsidRPr="004A7AC0" w:rsidRDefault="00C92BA9" w:rsidP="008C6456">
            <w:pPr>
              <w:jc w:val="center"/>
            </w:pPr>
            <w:r w:rsidRPr="004A7AC0">
              <w:t>14.2%</w:t>
            </w:r>
          </w:p>
        </w:tc>
        <w:tc>
          <w:tcPr>
            <w:tcW w:w="1276" w:type="dxa"/>
            <w:noWrap/>
            <w:vAlign w:val="center"/>
            <w:hideMark/>
          </w:tcPr>
          <w:p w14:paraId="61B1853E" w14:textId="77777777" w:rsidR="00C92BA9" w:rsidRPr="004A7AC0" w:rsidRDefault="00C92BA9" w:rsidP="008C6456">
            <w:pPr>
              <w:jc w:val="center"/>
            </w:pPr>
            <w:r w:rsidRPr="004A7AC0">
              <w:t>48.9%</w:t>
            </w:r>
          </w:p>
        </w:tc>
        <w:tc>
          <w:tcPr>
            <w:tcW w:w="1275" w:type="dxa"/>
            <w:noWrap/>
            <w:vAlign w:val="center"/>
            <w:hideMark/>
          </w:tcPr>
          <w:p w14:paraId="7251792E" w14:textId="77777777" w:rsidR="00C92BA9" w:rsidRPr="004A7AC0" w:rsidRDefault="00C92BA9" w:rsidP="008C6456">
            <w:pPr>
              <w:jc w:val="center"/>
            </w:pPr>
            <w:r w:rsidRPr="004A7AC0">
              <w:t>0</w:t>
            </w:r>
            <w:r>
              <w:t>.3</w:t>
            </w:r>
            <w:r w:rsidRPr="004A7AC0">
              <w:t>%</w:t>
            </w:r>
          </w:p>
        </w:tc>
      </w:tr>
      <w:tr w:rsidR="00C92BA9" w:rsidRPr="004A7AC0" w14:paraId="7783E3F5" w14:textId="77777777" w:rsidTr="00F842B7">
        <w:trPr>
          <w:trHeight w:val="360"/>
        </w:trPr>
        <w:tc>
          <w:tcPr>
            <w:tcW w:w="3239" w:type="dxa"/>
            <w:noWrap/>
            <w:vAlign w:val="center"/>
            <w:hideMark/>
          </w:tcPr>
          <w:p w14:paraId="14D97465" w14:textId="77777777" w:rsidR="00C92BA9" w:rsidRPr="004A7AC0" w:rsidRDefault="00C92BA9" w:rsidP="008C6456">
            <w:pPr>
              <w:jc w:val="center"/>
            </w:pPr>
            <w:r w:rsidRPr="004A7AC0">
              <w:t>London Stock Exchange  XLON</w:t>
            </w:r>
          </w:p>
        </w:tc>
        <w:tc>
          <w:tcPr>
            <w:tcW w:w="1292" w:type="dxa"/>
            <w:noWrap/>
            <w:vAlign w:val="center"/>
            <w:hideMark/>
          </w:tcPr>
          <w:p w14:paraId="755308A0" w14:textId="77777777" w:rsidR="00C92BA9" w:rsidRPr="004A7AC0" w:rsidRDefault="00C92BA9" w:rsidP="008C6456">
            <w:pPr>
              <w:jc w:val="center"/>
            </w:pPr>
            <w:r w:rsidRPr="004A7AC0">
              <w:t>12.1%</w:t>
            </w:r>
          </w:p>
        </w:tc>
        <w:tc>
          <w:tcPr>
            <w:tcW w:w="1276" w:type="dxa"/>
            <w:noWrap/>
            <w:vAlign w:val="center"/>
            <w:hideMark/>
          </w:tcPr>
          <w:p w14:paraId="0D7EDC56" w14:textId="77777777" w:rsidR="00C92BA9" w:rsidRPr="004A7AC0" w:rsidRDefault="00C92BA9" w:rsidP="008C6456">
            <w:pPr>
              <w:jc w:val="center"/>
            </w:pPr>
            <w:r w:rsidRPr="004A7AC0">
              <w:t>4.2%</w:t>
            </w:r>
          </w:p>
        </w:tc>
        <w:tc>
          <w:tcPr>
            <w:tcW w:w="1276" w:type="dxa"/>
            <w:noWrap/>
            <w:vAlign w:val="center"/>
            <w:hideMark/>
          </w:tcPr>
          <w:p w14:paraId="56D78C9B" w14:textId="77777777" w:rsidR="00C92BA9" w:rsidRPr="004A7AC0" w:rsidRDefault="00C92BA9" w:rsidP="008C6456">
            <w:pPr>
              <w:jc w:val="center"/>
            </w:pPr>
            <w:r w:rsidRPr="004A7AC0">
              <w:t>5%</w:t>
            </w:r>
          </w:p>
        </w:tc>
        <w:tc>
          <w:tcPr>
            <w:tcW w:w="1276" w:type="dxa"/>
            <w:noWrap/>
            <w:vAlign w:val="center"/>
            <w:hideMark/>
          </w:tcPr>
          <w:p w14:paraId="263A0D72" w14:textId="77777777" w:rsidR="00C92BA9" w:rsidRPr="004A7AC0" w:rsidRDefault="00C92BA9" w:rsidP="008C6456">
            <w:pPr>
              <w:jc w:val="center"/>
            </w:pPr>
            <w:r w:rsidRPr="004A7AC0">
              <w:t>11%</w:t>
            </w:r>
          </w:p>
        </w:tc>
        <w:tc>
          <w:tcPr>
            <w:tcW w:w="1275" w:type="dxa"/>
            <w:noWrap/>
            <w:vAlign w:val="center"/>
            <w:hideMark/>
          </w:tcPr>
          <w:p w14:paraId="1C22A0EA" w14:textId="77777777" w:rsidR="00C92BA9" w:rsidRPr="004A7AC0" w:rsidRDefault="00C92BA9" w:rsidP="008C6456">
            <w:pPr>
              <w:jc w:val="center"/>
            </w:pPr>
            <w:r w:rsidRPr="004A7AC0">
              <w:t>0%</w:t>
            </w:r>
          </w:p>
        </w:tc>
      </w:tr>
      <w:tr w:rsidR="00C92BA9" w:rsidRPr="004A7AC0" w14:paraId="36DB182C" w14:textId="77777777" w:rsidTr="00F842B7">
        <w:trPr>
          <w:trHeight w:val="360"/>
        </w:trPr>
        <w:tc>
          <w:tcPr>
            <w:tcW w:w="3239" w:type="dxa"/>
            <w:noWrap/>
            <w:vAlign w:val="center"/>
            <w:hideMark/>
          </w:tcPr>
          <w:p w14:paraId="19CD1BA0" w14:textId="77777777" w:rsidR="00C92BA9" w:rsidRPr="004A7AC0" w:rsidRDefault="00C92BA9" w:rsidP="008C6456">
            <w:pPr>
              <w:jc w:val="center"/>
            </w:pPr>
            <w:r w:rsidRPr="004A7AC0">
              <w:t>Euronext AG  XLDN</w:t>
            </w:r>
          </w:p>
        </w:tc>
        <w:tc>
          <w:tcPr>
            <w:tcW w:w="1292" w:type="dxa"/>
            <w:noWrap/>
            <w:vAlign w:val="center"/>
            <w:hideMark/>
          </w:tcPr>
          <w:p w14:paraId="6CA99912" w14:textId="77777777" w:rsidR="00C92BA9" w:rsidRPr="004A7AC0" w:rsidRDefault="00C92BA9" w:rsidP="008C6456">
            <w:pPr>
              <w:jc w:val="center"/>
            </w:pPr>
            <w:r w:rsidRPr="004A7AC0">
              <w:t>8.9%</w:t>
            </w:r>
          </w:p>
        </w:tc>
        <w:tc>
          <w:tcPr>
            <w:tcW w:w="1276" w:type="dxa"/>
            <w:noWrap/>
            <w:vAlign w:val="center"/>
            <w:hideMark/>
          </w:tcPr>
          <w:p w14:paraId="41624079" w14:textId="77777777" w:rsidR="00C92BA9" w:rsidRPr="004A7AC0" w:rsidRDefault="00C92BA9" w:rsidP="008C6456">
            <w:pPr>
              <w:jc w:val="center"/>
            </w:pPr>
            <w:r w:rsidRPr="004A7AC0">
              <w:t>6.5%</w:t>
            </w:r>
          </w:p>
        </w:tc>
        <w:tc>
          <w:tcPr>
            <w:tcW w:w="1276" w:type="dxa"/>
            <w:noWrap/>
            <w:vAlign w:val="center"/>
            <w:hideMark/>
          </w:tcPr>
          <w:p w14:paraId="71504263" w14:textId="77777777" w:rsidR="00C92BA9" w:rsidRPr="004A7AC0" w:rsidRDefault="00C92BA9" w:rsidP="008C6456">
            <w:pPr>
              <w:jc w:val="center"/>
            </w:pPr>
            <w:r w:rsidRPr="004A7AC0">
              <w:t>28%</w:t>
            </w:r>
          </w:p>
        </w:tc>
        <w:tc>
          <w:tcPr>
            <w:tcW w:w="1276" w:type="dxa"/>
            <w:noWrap/>
            <w:vAlign w:val="center"/>
            <w:hideMark/>
          </w:tcPr>
          <w:p w14:paraId="2F0FC767" w14:textId="77777777" w:rsidR="00C92BA9" w:rsidRPr="004A7AC0" w:rsidRDefault="00C92BA9" w:rsidP="008C6456">
            <w:pPr>
              <w:jc w:val="center"/>
            </w:pPr>
            <w:r w:rsidRPr="004A7AC0">
              <w:t>62.9%</w:t>
            </w:r>
          </w:p>
        </w:tc>
        <w:tc>
          <w:tcPr>
            <w:tcW w:w="1275" w:type="dxa"/>
            <w:noWrap/>
            <w:vAlign w:val="center"/>
            <w:hideMark/>
          </w:tcPr>
          <w:p w14:paraId="0B618294" w14:textId="77777777" w:rsidR="00C92BA9" w:rsidRPr="004A7AC0" w:rsidRDefault="00C92BA9" w:rsidP="008C6456">
            <w:pPr>
              <w:jc w:val="center"/>
            </w:pPr>
            <w:r w:rsidRPr="004A7AC0">
              <w:t>0%</w:t>
            </w:r>
          </w:p>
        </w:tc>
      </w:tr>
      <w:tr w:rsidR="00C92BA9" w:rsidRPr="004A7AC0" w14:paraId="7ECED9A4" w14:textId="77777777" w:rsidTr="00F842B7">
        <w:trPr>
          <w:trHeight w:val="360"/>
        </w:trPr>
        <w:tc>
          <w:tcPr>
            <w:tcW w:w="3239" w:type="dxa"/>
            <w:noWrap/>
            <w:vAlign w:val="center"/>
            <w:hideMark/>
          </w:tcPr>
          <w:p w14:paraId="0E3B1080" w14:textId="77777777" w:rsidR="00C92BA9" w:rsidRPr="004A7AC0" w:rsidRDefault="00C92BA9" w:rsidP="008C6456">
            <w:pPr>
              <w:jc w:val="center"/>
            </w:pPr>
            <w:r w:rsidRPr="004A7AC0">
              <w:t>Turquoise   TRQX</w:t>
            </w:r>
          </w:p>
        </w:tc>
        <w:tc>
          <w:tcPr>
            <w:tcW w:w="1292" w:type="dxa"/>
            <w:noWrap/>
            <w:vAlign w:val="center"/>
            <w:hideMark/>
          </w:tcPr>
          <w:p w14:paraId="0AF4C10A" w14:textId="77777777" w:rsidR="00C92BA9" w:rsidRPr="004A7AC0" w:rsidRDefault="00C92BA9" w:rsidP="008C6456">
            <w:pPr>
              <w:jc w:val="center"/>
            </w:pPr>
            <w:r w:rsidRPr="004A7AC0">
              <w:t>8.2%</w:t>
            </w:r>
          </w:p>
        </w:tc>
        <w:tc>
          <w:tcPr>
            <w:tcW w:w="1276" w:type="dxa"/>
            <w:noWrap/>
            <w:vAlign w:val="center"/>
            <w:hideMark/>
          </w:tcPr>
          <w:p w14:paraId="6A9E5B7F" w14:textId="77777777" w:rsidR="00C92BA9" w:rsidRPr="004A7AC0" w:rsidRDefault="00C92BA9" w:rsidP="008C6456">
            <w:pPr>
              <w:jc w:val="center"/>
            </w:pPr>
            <w:r w:rsidRPr="004A7AC0">
              <w:t>6.4%</w:t>
            </w:r>
          </w:p>
        </w:tc>
        <w:tc>
          <w:tcPr>
            <w:tcW w:w="1276" w:type="dxa"/>
            <w:noWrap/>
            <w:vAlign w:val="center"/>
            <w:hideMark/>
          </w:tcPr>
          <w:p w14:paraId="5829002F" w14:textId="77777777" w:rsidR="00C92BA9" w:rsidRPr="004A7AC0" w:rsidRDefault="00C92BA9" w:rsidP="008C6456">
            <w:pPr>
              <w:jc w:val="center"/>
            </w:pPr>
            <w:r w:rsidRPr="004A7AC0">
              <w:t>21.3%</w:t>
            </w:r>
          </w:p>
        </w:tc>
        <w:tc>
          <w:tcPr>
            <w:tcW w:w="1276" w:type="dxa"/>
            <w:noWrap/>
            <w:vAlign w:val="center"/>
            <w:hideMark/>
          </w:tcPr>
          <w:p w14:paraId="37F8FE3D" w14:textId="77777777" w:rsidR="00C92BA9" w:rsidRPr="004A7AC0" w:rsidRDefault="00C92BA9" w:rsidP="008C6456">
            <w:pPr>
              <w:jc w:val="center"/>
            </w:pPr>
            <w:r w:rsidRPr="004A7AC0">
              <w:t>49.1%</w:t>
            </w:r>
          </w:p>
        </w:tc>
        <w:tc>
          <w:tcPr>
            <w:tcW w:w="1275" w:type="dxa"/>
            <w:noWrap/>
            <w:vAlign w:val="center"/>
            <w:hideMark/>
          </w:tcPr>
          <w:p w14:paraId="663E4AF7" w14:textId="77777777" w:rsidR="00C92BA9" w:rsidRPr="004A7AC0" w:rsidRDefault="00C92BA9" w:rsidP="008C6456">
            <w:pPr>
              <w:jc w:val="center"/>
            </w:pPr>
            <w:r w:rsidRPr="004A7AC0">
              <w:t>0%</w:t>
            </w:r>
          </w:p>
        </w:tc>
      </w:tr>
      <w:tr w:rsidR="00C92BA9" w:rsidRPr="004A7AC0" w14:paraId="531F896F" w14:textId="77777777" w:rsidTr="00F842B7">
        <w:trPr>
          <w:trHeight w:val="360"/>
        </w:trPr>
        <w:tc>
          <w:tcPr>
            <w:tcW w:w="3239" w:type="dxa"/>
            <w:noWrap/>
            <w:vAlign w:val="center"/>
            <w:hideMark/>
          </w:tcPr>
          <w:p w14:paraId="608068B4" w14:textId="77777777" w:rsidR="00C92BA9" w:rsidRPr="004A7AC0" w:rsidRDefault="00C92BA9" w:rsidP="008C6456">
            <w:pPr>
              <w:jc w:val="center"/>
            </w:pPr>
            <w:r w:rsidRPr="004A7AC0">
              <w:t>Deutsche Borse    XFRA</w:t>
            </w:r>
          </w:p>
        </w:tc>
        <w:tc>
          <w:tcPr>
            <w:tcW w:w="1292" w:type="dxa"/>
            <w:noWrap/>
            <w:vAlign w:val="center"/>
            <w:hideMark/>
          </w:tcPr>
          <w:p w14:paraId="393DB29C" w14:textId="77777777" w:rsidR="00C92BA9" w:rsidRPr="004A7AC0" w:rsidRDefault="00C92BA9" w:rsidP="008C6456">
            <w:pPr>
              <w:jc w:val="center"/>
            </w:pPr>
            <w:r w:rsidRPr="004A7AC0">
              <w:t>6.3%</w:t>
            </w:r>
          </w:p>
        </w:tc>
        <w:tc>
          <w:tcPr>
            <w:tcW w:w="1276" w:type="dxa"/>
            <w:noWrap/>
            <w:vAlign w:val="center"/>
            <w:hideMark/>
          </w:tcPr>
          <w:p w14:paraId="0EF9CFC2" w14:textId="77777777" w:rsidR="00C92BA9" w:rsidRPr="004A7AC0" w:rsidRDefault="00C92BA9" w:rsidP="008C6456">
            <w:pPr>
              <w:jc w:val="center"/>
            </w:pPr>
            <w:r w:rsidRPr="004A7AC0">
              <w:t>7.1%</w:t>
            </w:r>
          </w:p>
        </w:tc>
        <w:tc>
          <w:tcPr>
            <w:tcW w:w="1276" w:type="dxa"/>
            <w:noWrap/>
            <w:vAlign w:val="center"/>
            <w:hideMark/>
          </w:tcPr>
          <w:p w14:paraId="20A40B16" w14:textId="77777777" w:rsidR="00C92BA9" w:rsidRPr="004A7AC0" w:rsidRDefault="00C92BA9" w:rsidP="008C6456">
            <w:pPr>
              <w:jc w:val="center"/>
            </w:pPr>
            <w:r w:rsidRPr="004A7AC0">
              <w:t>14.9%</w:t>
            </w:r>
          </w:p>
        </w:tc>
        <w:tc>
          <w:tcPr>
            <w:tcW w:w="1276" w:type="dxa"/>
            <w:noWrap/>
            <w:vAlign w:val="center"/>
            <w:hideMark/>
          </w:tcPr>
          <w:p w14:paraId="504A1B04" w14:textId="77777777" w:rsidR="00C92BA9" w:rsidRPr="004A7AC0" w:rsidRDefault="00C92BA9" w:rsidP="008C6456">
            <w:pPr>
              <w:jc w:val="center"/>
            </w:pPr>
            <w:r w:rsidRPr="004A7AC0">
              <w:t>52.7%</w:t>
            </w:r>
          </w:p>
        </w:tc>
        <w:tc>
          <w:tcPr>
            <w:tcW w:w="1275" w:type="dxa"/>
            <w:noWrap/>
            <w:vAlign w:val="center"/>
            <w:hideMark/>
          </w:tcPr>
          <w:p w14:paraId="45FB41FE" w14:textId="77777777" w:rsidR="00C92BA9" w:rsidRPr="004A7AC0" w:rsidRDefault="00C92BA9" w:rsidP="008C6456">
            <w:pPr>
              <w:jc w:val="center"/>
            </w:pPr>
            <w:r w:rsidRPr="004A7AC0">
              <w:t>0.1%</w:t>
            </w:r>
          </w:p>
        </w:tc>
      </w:tr>
    </w:tbl>
    <w:p w14:paraId="4CEB2BD1" w14:textId="77777777" w:rsidR="008C6456" w:rsidRDefault="008C6456" w:rsidP="00AD5637">
      <w:pPr>
        <w:rPr>
          <w:b/>
        </w:rPr>
      </w:pPr>
    </w:p>
    <w:p w14:paraId="74FCDDCB" w14:textId="77777777" w:rsidR="008C6456" w:rsidRDefault="008C6456" w:rsidP="00AD5637">
      <w:pPr>
        <w:rPr>
          <w:b/>
        </w:rPr>
      </w:pPr>
    </w:p>
    <w:p w14:paraId="23D5B207" w14:textId="52BC87B3" w:rsidR="008C6456" w:rsidRDefault="008C6456" w:rsidP="00AD5637">
      <w:pPr>
        <w:rPr>
          <w:b/>
        </w:rPr>
      </w:pPr>
    </w:p>
    <w:p w14:paraId="25AECFEC" w14:textId="77777777" w:rsidR="004F62BB" w:rsidRDefault="004F62BB" w:rsidP="00AD5637">
      <w:pPr>
        <w:rPr>
          <w:b/>
        </w:rPr>
      </w:pPr>
    </w:p>
    <w:p w14:paraId="581B84FE" w14:textId="77777777" w:rsidR="008C6456" w:rsidRDefault="008C6456" w:rsidP="00AD5637">
      <w:pPr>
        <w:rPr>
          <w:b/>
        </w:rPr>
      </w:pPr>
    </w:p>
    <w:p w14:paraId="1A7FDE42" w14:textId="77777777" w:rsidR="00AD5637" w:rsidRDefault="008C6B93" w:rsidP="00AD5637">
      <w:pPr>
        <w:rPr>
          <w:b/>
        </w:rPr>
      </w:pPr>
      <w:r>
        <w:rPr>
          <w:b/>
        </w:rPr>
        <w:t>Sell Side/</w:t>
      </w:r>
      <w:r w:rsidR="00AD5637" w:rsidRPr="00A23168">
        <w:rPr>
          <w:b/>
        </w:rPr>
        <w:t xml:space="preserve">Buy Side with no direct access to </w:t>
      </w:r>
      <w:r>
        <w:rPr>
          <w:b/>
        </w:rPr>
        <w:t>market trading (Article 65.6)</w:t>
      </w:r>
    </w:p>
    <w:p w14:paraId="367E3D74" w14:textId="77777777" w:rsidR="00AD5637" w:rsidRDefault="00AD5637" w:rsidP="00AD5637">
      <w:pPr>
        <w:rPr>
          <w:b/>
        </w:rPr>
      </w:pPr>
    </w:p>
    <w:p w14:paraId="24085CD1" w14:textId="77777777" w:rsidR="00AD5637" w:rsidRDefault="00AD5637" w:rsidP="00AD5637">
      <w:r>
        <w:t xml:space="preserve">Assumed that no Aggressive or Passive columns as buy side are unable to affect execution by “crossing the spread” </w:t>
      </w:r>
    </w:p>
    <w:p w14:paraId="6FDD70F3" w14:textId="66ED694D" w:rsidR="00AD5637" w:rsidRDefault="00AD5637" w:rsidP="00AD5637">
      <w:r>
        <w:t>Assumed that Venue will be Broker as per Article 65</w:t>
      </w:r>
      <w:r w:rsidR="00487F73">
        <w:t xml:space="preserve">. </w:t>
      </w:r>
    </w:p>
    <w:p w14:paraId="1D430EDE" w14:textId="77777777" w:rsidR="00AD5637" w:rsidRDefault="00AD5637" w:rsidP="00AD5637">
      <w:r>
        <w:t>Assumed that it makes no difference to report if broker acts as SI or broker as it is their choice to do so and not the Buy Side</w:t>
      </w:r>
    </w:p>
    <w:p w14:paraId="3E340965" w14:textId="77777777" w:rsidR="0003149A" w:rsidRDefault="0003149A" w:rsidP="00AD5637"/>
    <w:p w14:paraId="6D594892" w14:textId="77777777" w:rsidR="0003149A" w:rsidRDefault="0003149A" w:rsidP="00AD5637"/>
    <w:tbl>
      <w:tblPr>
        <w:tblStyle w:val="TableGrid"/>
        <w:tblW w:w="7905" w:type="dxa"/>
        <w:tblLayout w:type="fixed"/>
        <w:tblLook w:val="04A0" w:firstRow="1" w:lastRow="0" w:firstColumn="1" w:lastColumn="0" w:noHBand="0" w:noVBand="1"/>
      </w:tblPr>
      <w:tblGrid>
        <w:gridCol w:w="2235"/>
        <w:gridCol w:w="1890"/>
        <w:gridCol w:w="1890"/>
        <w:gridCol w:w="1890"/>
      </w:tblGrid>
      <w:tr w:rsidR="0003149A" w:rsidRPr="004A7AC0" w14:paraId="4D3B3651" w14:textId="77777777" w:rsidTr="00B1175B">
        <w:trPr>
          <w:trHeight w:val="353"/>
        </w:trPr>
        <w:tc>
          <w:tcPr>
            <w:tcW w:w="2235" w:type="dxa"/>
            <w:noWrap/>
            <w:hideMark/>
          </w:tcPr>
          <w:p w14:paraId="154203ED" w14:textId="77777777" w:rsidR="0003149A" w:rsidRPr="004A7AC0" w:rsidRDefault="0003149A" w:rsidP="00B1175B">
            <w:pPr>
              <w:jc w:val="center"/>
            </w:pPr>
            <w:r w:rsidRPr="004A7AC0">
              <w:t xml:space="preserve">Class of Instrument </w:t>
            </w:r>
            <w:r w:rsidRPr="004A7AC0">
              <w:rPr>
                <w:b/>
              </w:rPr>
              <w:t>(1)</w:t>
            </w:r>
          </w:p>
        </w:tc>
        <w:tc>
          <w:tcPr>
            <w:tcW w:w="5670" w:type="dxa"/>
            <w:gridSpan w:val="3"/>
            <w:noWrap/>
            <w:hideMark/>
          </w:tcPr>
          <w:p w14:paraId="209D4A61" w14:textId="77777777" w:rsidR="0003149A" w:rsidRPr="004A7AC0" w:rsidRDefault="0003149A" w:rsidP="00B1175B">
            <w:pPr>
              <w:jc w:val="center"/>
            </w:pPr>
            <w:r w:rsidRPr="004A7AC0">
              <w:t xml:space="preserve">Equities </w:t>
            </w:r>
          </w:p>
        </w:tc>
      </w:tr>
      <w:tr w:rsidR="0003149A" w:rsidRPr="004A7AC0" w14:paraId="7C0F7D0B" w14:textId="77777777" w:rsidTr="00B1175B">
        <w:trPr>
          <w:trHeight w:val="353"/>
        </w:trPr>
        <w:tc>
          <w:tcPr>
            <w:tcW w:w="2235" w:type="dxa"/>
            <w:noWrap/>
            <w:hideMark/>
          </w:tcPr>
          <w:p w14:paraId="739F9B69" w14:textId="77777777" w:rsidR="0003149A" w:rsidRPr="004A7AC0" w:rsidRDefault="0003149A" w:rsidP="00B1175B">
            <w:pPr>
              <w:jc w:val="center"/>
            </w:pPr>
            <w:r w:rsidRPr="004A7AC0">
              <w:t xml:space="preserve">Notification if &lt;1 average trade per business day in the previous year  </w:t>
            </w:r>
            <w:r w:rsidRPr="004A7AC0">
              <w:rPr>
                <w:b/>
              </w:rPr>
              <w:t>(2)</w:t>
            </w:r>
          </w:p>
        </w:tc>
        <w:tc>
          <w:tcPr>
            <w:tcW w:w="5670" w:type="dxa"/>
            <w:gridSpan w:val="3"/>
            <w:noWrap/>
            <w:vAlign w:val="center"/>
            <w:hideMark/>
          </w:tcPr>
          <w:p w14:paraId="4D1A111E" w14:textId="77777777" w:rsidR="0003149A" w:rsidRPr="004A7AC0" w:rsidRDefault="0003149A" w:rsidP="00B1175B">
            <w:pPr>
              <w:jc w:val="center"/>
            </w:pPr>
            <w:r w:rsidRPr="004A7AC0">
              <w:t>N</w:t>
            </w:r>
          </w:p>
        </w:tc>
      </w:tr>
      <w:tr w:rsidR="0003149A" w:rsidRPr="004A7AC0" w14:paraId="27F04A47" w14:textId="77777777" w:rsidTr="00B1175B">
        <w:trPr>
          <w:trHeight w:val="1192"/>
        </w:trPr>
        <w:tc>
          <w:tcPr>
            <w:tcW w:w="2235" w:type="dxa"/>
            <w:hideMark/>
          </w:tcPr>
          <w:p w14:paraId="793D0455" w14:textId="77777777" w:rsidR="0003149A" w:rsidRPr="004A7AC0" w:rsidRDefault="0003149A" w:rsidP="00B1175B">
            <w:pPr>
              <w:jc w:val="center"/>
            </w:pPr>
            <w:r w:rsidRPr="004A7AC0">
              <w:lastRenderedPageBreak/>
              <w:t xml:space="preserve">Top five execution venues ranked in terms of trading volumes (descending order)  </w:t>
            </w:r>
            <w:r w:rsidRPr="004A7AC0">
              <w:rPr>
                <w:b/>
              </w:rPr>
              <w:t>(3)</w:t>
            </w:r>
          </w:p>
        </w:tc>
        <w:tc>
          <w:tcPr>
            <w:tcW w:w="1890" w:type="dxa"/>
            <w:hideMark/>
          </w:tcPr>
          <w:p w14:paraId="34DC1C1A" w14:textId="77777777" w:rsidR="0003149A" w:rsidRPr="004A7AC0" w:rsidRDefault="0003149A" w:rsidP="00B1175B">
            <w:pPr>
              <w:jc w:val="center"/>
            </w:pPr>
            <w:r w:rsidRPr="004A7AC0">
              <w:t xml:space="preserve">Proportion of volume traded as a percentage of total in that class </w:t>
            </w:r>
            <w:r w:rsidRPr="004A7AC0">
              <w:rPr>
                <w:b/>
              </w:rPr>
              <w:t>(4)</w:t>
            </w:r>
          </w:p>
        </w:tc>
        <w:tc>
          <w:tcPr>
            <w:tcW w:w="1890" w:type="dxa"/>
            <w:hideMark/>
          </w:tcPr>
          <w:p w14:paraId="7B2EE895" w14:textId="77777777" w:rsidR="0003149A" w:rsidRPr="004A7AC0" w:rsidRDefault="0003149A" w:rsidP="00B1175B">
            <w:pPr>
              <w:jc w:val="center"/>
            </w:pPr>
            <w:r w:rsidRPr="004A7AC0">
              <w:t xml:space="preserve">Proportion of orders executed as percentage of total in that class </w:t>
            </w:r>
            <w:r w:rsidRPr="004A7AC0">
              <w:rPr>
                <w:b/>
              </w:rPr>
              <w:t>(5)</w:t>
            </w:r>
          </w:p>
        </w:tc>
        <w:tc>
          <w:tcPr>
            <w:tcW w:w="1890" w:type="dxa"/>
            <w:hideMark/>
          </w:tcPr>
          <w:p w14:paraId="519DA5D9" w14:textId="77777777" w:rsidR="0003149A" w:rsidRPr="004A7AC0" w:rsidRDefault="0003149A" w:rsidP="00B1175B">
            <w:pPr>
              <w:jc w:val="center"/>
            </w:pPr>
            <w:r w:rsidRPr="004A7AC0">
              <w:t xml:space="preserve">Percentage of directed orders </w:t>
            </w:r>
            <w:r w:rsidRPr="004A7AC0">
              <w:rPr>
                <w:b/>
              </w:rPr>
              <w:t>(6)</w:t>
            </w:r>
          </w:p>
        </w:tc>
      </w:tr>
      <w:tr w:rsidR="0003149A" w:rsidRPr="004A7AC0" w14:paraId="477D35FA" w14:textId="77777777" w:rsidTr="00B1175B">
        <w:trPr>
          <w:trHeight w:val="353"/>
        </w:trPr>
        <w:tc>
          <w:tcPr>
            <w:tcW w:w="2235" w:type="dxa"/>
            <w:noWrap/>
            <w:vAlign w:val="center"/>
            <w:hideMark/>
          </w:tcPr>
          <w:p w14:paraId="485E5478" w14:textId="478650AE" w:rsidR="0003149A" w:rsidRPr="004A7AC0" w:rsidRDefault="0003149A" w:rsidP="00D63412">
            <w:pPr>
              <w:jc w:val="center"/>
            </w:pPr>
            <w:r w:rsidRPr="004A7AC0">
              <w:t xml:space="preserve">UBS </w:t>
            </w:r>
          </w:p>
        </w:tc>
        <w:tc>
          <w:tcPr>
            <w:tcW w:w="1890" w:type="dxa"/>
            <w:noWrap/>
            <w:vAlign w:val="center"/>
            <w:hideMark/>
          </w:tcPr>
          <w:p w14:paraId="65DB4ECA" w14:textId="77777777" w:rsidR="0003149A" w:rsidRPr="004A7AC0" w:rsidRDefault="0003149A" w:rsidP="00B1175B">
            <w:pPr>
              <w:jc w:val="center"/>
            </w:pPr>
            <w:r>
              <w:t>16.5</w:t>
            </w:r>
            <w:r w:rsidRPr="004A7AC0">
              <w:t>%</w:t>
            </w:r>
          </w:p>
        </w:tc>
        <w:tc>
          <w:tcPr>
            <w:tcW w:w="1890" w:type="dxa"/>
            <w:noWrap/>
            <w:vAlign w:val="center"/>
            <w:hideMark/>
          </w:tcPr>
          <w:p w14:paraId="296A9B5D" w14:textId="77777777" w:rsidR="0003149A" w:rsidRPr="004A7AC0" w:rsidRDefault="0003149A" w:rsidP="00B1175B">
            <w:pPr>
              <w:jc w:val="center"/>
            </w:pPr>
            <w:r>
              <w:t>14</w:t>
            </w:r>
            <w:r w:rsidRPr="004A7AC0">
              <w:t>.3%</w:t>
            </w:r>
          </w:p>
        </w:tc>
        <w:tc>
          <w:tcPr>
            <w:tcW w:w="1890" w:type="dxa"/>
            <w:noWrap/>
            <w:vAlign w:val="center"/>
            <w:hideMark/>
          </w:tcPr>
          <w:p w14:paraId="79D6FB8C" w14:textId="77777777" w:rsidR="0003149A" w:rsidRPr="004A7AC0" w:rsidRDefault="0003149A" w:rsidP="00B1175B">
            <w:pPr>
              <w:jc w:val="center"/>
            </w:pPr>
            <w:r w:rsidRPr="004A7AC0">
              <w:t>0%</w:t>
            </w:r>
          </w:p>
        </w:tc>
      </w:tr>
      <w:tr w:rsidR="0003149A" w:rsidRPr="004A7AC0" w14:paraId="22C4E2AE" w14:textId="77777777" w:rsidTr="00B1175B">
        <w:trPr>
          <w:trHeight w:val="353"/>
        </w:trPr>
        <w:tc>
          <w:tcPr>
            <w:tcW w:w="2235" w:type="dxa"/>
            <w:noWrap/>
            <w:vAlign w:val="center"/>
            <w:hideMark/>
          </w:tcPr>
          <w:p w14:paraId="298C8513" w14:textId="77777777" w:rsidR="0003149A" w:rsidRPr="004A7AC0" w:rsidRDefault="0003149A" w:rsidP="00B1175B">
            <w:pPr>
              <w:jc w:val="center"/>
            </w:pPr>
            <w:r w:rsidRPr="004A7AC0">
              <w:t>Deutsche Bank</w:t>
            </w:r>
          </w:p>
        </w:tc>
        <w:tc>
          <w:tcPr>
            <w:tcW w:w="1890" w:type="dxa"/>
            <w:noWrap/>
            <w:vAlign w:val="center"/>
            <w:hideMark/>
          </w:tcPr>
          <w:p w14:paraId="0ED9E7CC" w14:textId="77777777" w:rsidR="0003149A" w:rsidRPr="004A7AC0" w:rsidRDefault="0003149A" w:rsidP="00B1175B">
            <w:pPr>
              <w:jc w:val="center"/>
            </w:pPr>
            <w:r>
              <w:t>14</w:t>
            </w:r>
            <w:r w:rsidRPr="004A7AC0">
              <w:t>.1%</w:t>
            </w:r>
          </w:p>
        </w:tc>
        <w:tc>
          <w:tcPr>
            <w:tcW w:w="1890" w:type="dxa"/>
            <w:noWrap/>
            <w:vAlign w:val="center"/>
            <w:hideMark/>
          </w:tcPr>
          <w:p w14:paraId="589E31EF" w14:textId="77777777" w:rsidR="0003149A" w:rsidRPr="004A7AC0" w:rsidRDefault="0003149A" w:rsidP="00B1175B">
            <w:pPr>
              <w:jc w:val="center"/>
            </w:pPr>
            <w:r w:rsidRPr="004A7AC0">
              <w:t>4.2%</w:t>
            </w:r>
          </w:p>
        </w:tc>
        <w:tc>
          <w:tcPr>
            <w:tcW w:w="1890" w:type="dxa"/>
            <w:noWrap/>
            <w:vAlign w:val="center"/>
            <w:hideMark/>
          </w:tcPr>
          <w:p w14:paraId="47EE79D6" w14:textId="77777777" w:rsidR="0003149A" w:rsidRPr="004A7AC0" w:rsidRDefault="0003149A" w:rsidP="00B1175B">
            <w:pPr>
              <w:jc w:val="center"/>
            </w:pPr>
            <w:r w:rsidRPr="004A7AC0">
              <w:t>0</w:t>
            </w:r>
            <w:r>
              <w:t>.5</w:t>
            </w:r>
            <w:r w:rsidRPr="004A7AC0">
              <w:t>%</w:t>
            </w:r>
          </w:p>
        </w:tc>
      </w:tr>
      <w:tr w:rsidR="0003149A" w:rsidRPr="004A7AC0" w14:paraId="76490637" w14:textId="77777777" w:rsidTr="00B1175B">
        <w:trPr>
          <w:trHeight w:val="353"/>
        </w:trPr>
        <w:tc>
          <w:tcPr>
            <w:tcW w:w="2235" w:type="dxa"/>
            <w:noWrap/>
            <w:vAlign w:val="center"/>
            <w:hideMark/>
          </w:tcPr>
          <w:p w14:paraId="7639022D" w14:textId="77777777" w:rsidR="0003149A" w:rsidRPr="004A7AC0" w:rsidRDefault="0003149A" w:rsidP="00B1175B">
            <w:pPr>
              <w:jc w:val="center"/>
            </w:pPr>
            <w:r w:rsidRPr="004A7AC0">
              <w:t xml:space="preserve">Goldman Sachs </w:t>
            </w:r>
          </w:p>
        </w:tc>
        <w:tc>
          <w:tcPr>
            <w:tcW w:w="1890" w:type="dxa"/>
            <w:noWrap/>
            <w:vAlign w:val="center"/>
            <w:hideMark/>
          </w:tcPr>
          <w:p w14:paraId="041577CE" w14:textId="77777777" w:rsidR="0003149A" w:rsidRPr="004A7AC0" w:rsidRDefault="0003149A" w:rsidP="00B1175B">
            <w:pPr>
              <w:jc w:val="center"/>
            </w:pPr>
            <w:r>
              <w:t>12.2</w:t>
            </w:r>
            <w:r w:rsidRPr="004A7AC0">
              <w:t>%</w:t>
            </w:r>
          </w:p>
        </w:tc>
        <w:tc>
          <w:tcPr>
            <w:tcW w:w="1890" w:type="dxa"/>
            <w:noWrap/>
            <w:vAlign w:val="center"/>
            <w:hideMark/>
          </w:tcPr>
          <w:p w14:paraId="46A1CC43" w14:textId="77777777" w:rsidR="0003149A" w:rsidRPr="004A7AC0" w:rsidRDefault="0003149A" w:rsidP="00B1175B">
            <w:pPr>
              <w:jc w:val="center"/>
            </w:pPr>
            <w:r w:rsidRPr="004A7AC0">
              <w:t>6.5%</w:t>
            </w:r>
          </w:p>
        </w:tc>
        <w:tc>
          <w:tcPr>
            <w:tcW w:w="1890" w:type="dxa"/>
            <w:noWrap/>
            <w:vAlign w:val="center"/>
            <w:hideMark/>
          </w:tcPr>
          <w:p w14:paraId="4826098B" w14:textId="77777777" w:rsidR="0003149A" w:rsidRPr="004A7AC0" w:rsidRDefault="0003149A" w:rsidP="00B1175B">
            <w:pPr>
              <w:jc w:val="center"/>
            </w:pPr>
            <w:r w:rsidRPr="004A7AC0">
              <w:t>0%</w:t>
            </w:r>
          </w:p>
        </w:tc>
      </w:tr>
      <w:tr w:rsidR="0003149A" w:rsidRPr="004A7AC0" w14:paraId="774EE086" w14:textId="77777777" w:rsidTr="00B1175B">
        <w:trPr>
          <w:trHeight w:val="353"/>
        </w:trPr>
        <w:tc>
          <w:tcPr>
            <w:tcW w:w="2235" w:type="dxa"/>
            <w:noWrap/>
            <w:vAlign w:val="center"/>
            <w:hideMark/>
          </w:tcPr>
          <w:p w14:paraId="6A805B52" w14:textId="77777777" w:rsidR="0003149A" w:rsidRPr="004A7AC0" w:rsidRDefault="0003149A" w:rsidP="00B1175B">
            <w:pPr>
              <w:jc w:val="center"/>
            </w:pPr>
            <w:r w:rsidRPr="004A7AC0">
              <w:t xml:space="preserve">Barclays   </w:t>
            </w:r>
          </w:p>
        </w:tc>
        <w:tc>
          <w:tcPr>
            <w:tcW w:w="1890" w:type="dxa"/>
            <w:noWrap/>
            <w:vAlign w:val="center"/>
            <w:hideMark/>
          </w:tcPr>
          <w:p w14:paraId="593C55FE" w14:textId="77777777" w:rsidR="0003149A" w:rsidRPr="004A7AC0" w:rsidRDefault="0003149A" w:rsidP="00B1175B">
            <w:pPr>
              <w:jc w:val="center"/>
            </w:pPr>
            <w:r>
              <w:t>11.6</w:t>
            </w:r>
            <w:r w:rsidRPr="004A7AC0">
              <w:t>%</w:t>
            </w:r>
          </w:p>
        </w:tc>
        <w:tc>
          <w:tcPr>
            <w:tcW w:w="1890" w:type="dxa"/>
            <w:noWrap/>
            <w:vAlign w:val="center"/>
            <w:hideMark/>
          </w:tcPr>
          <w:p w14:paraId="7ABBDF1D" w14:textId="77777777" w:rsidR="0003149A" w:rsidRPr="004A7AC0" w:rsidRDefault="0003149A" w:rsidP="00B1175B">
            <w:pPr>
              <w:jc w:val="center"/>
            </w:pPr>
            <w:r w:rsidRPr="004A7AC0">
              <w:t>6.4%</w:t>
            </w:r>
          </w:p>
        </w:tc>
        <w:tc>
          <w:tcPr>
            <w:tcW w:w="1890" w:type="dxa"/>
            <w:noWrap/>
            <w:vAlign w:val="center"/>
            <w:hideMark/>
          </w:tcPr>
          <w:p w14:paraId="146B66AE" w14:textId="77777777" w:rsidR="0003149A" w:rsidRPr="004A7AC0" w:rsidRDefault="0003149A" w:rsidP="00B1175B">
            <w:pPr>
              <w:jc w:val="center"/>
            </w:pPr>
            <w:r w:rsidRPr="004A7AC0">
              <w:t>0%</w:t>
            </w:r>
          </w:p>
        </w:tc>
      </w:tr>
      <w:tr w:rsidR="0003149A" w:rsidRPr="004A7AC0" w14:paraId="24456729" w14:textId="77777777" w:rsidTr="00B1175B">
        <w:trPr>
          <w:trHeight w:val="353"/>
        </w:trPr>
        <w:tc>
          <w:tcPr>
            <w:tcW w:w="2235" w:type="dxa"/>
            <w:noWrap/>
            <w:vAlign w:val="center"/>
            <w:hideMark/>
          </w:tcPr>
          <w:p w14:paraId="2808612D" w14:textId="77777777" w:rsidR="0003149A" w:rsidRPr="004A7AC0" w:rsidRDefault="0003149A" w:rsidP="00B1175B">
            <w:pPr>
              <w:jc w:val="center"/>
            </w:pPr>
            <w:r w:rsidRPr="004A7AC0">
              <w:t xml:space="preserve">RBS   </w:t>
            </w:r>
          </w:p>
        </w:tc>
        <w:tc>
          <w:tcPr>
            <w:tcW w:w="1890" w:type="dxa"/>
            <w:noWrap/>
            <w:vAlign w:val="center"/>
            <w:hideMark/>
          </w:tcPr>
          <w:p w14:paraId="6484D5C9" w14:textId="77777777" w:rsidR="0003149A" w:rsidRPr="004A7AC0" w:rsidRDefault="0003149A" w:rsidP="00B1175B">
            <w:pPr>
              <w:jc w:val="center"/>
            </w:pPr>
            <w:r>
              <w:t>10.8</w:t>
            </w:r>
            <w:r w:rsidRPr="004A7AC0">
              <w:t>%</w:t>
            </w:r>
          </w:p>
        </w:tc>
        <w:tc>
          <w:tcPr>
            <w:tcW w:w="1890" w:type="dxa"/>
            <w:noWrap/>
            <w:vAlign w:val="center"/>
            <w:hideMark/>
          </w:tcPr>
          <w:p w14:paraId="570A6313" w14:textId="77777777" w:rsidR="0003149A" w:rsidRPr="004A7AC0" w:rsidRDefault="0003149A" w:rsidP="00B1175B">
            <w:pPr>
              <w:jc w:val="center"/>
            </w:pPr>
            <w:r w:rsidRPr="004A7AC0">
              <w:t>7.1%</w:t>
            </w:r>
          </w:p>
        </w:tc>
        <w:tc>
          <w:tcPr>
            <w:tcW w:w="1890" w:type="dxa"/>
            <w:noWrap/>
            <w:vAlign w:val="center"/>
            <w:hideMark/>
          </w:tcPr>
          <w:p w14:paraId="4487AEB0" w14:textId="77777777" w:rsidR="0003149A" w:rsidRPr="004A7AC0" w:rsidRDefault="0003149A" w:rsidP="00B1175B">
            <w:pPr>
              <w:jc w:val="center"/>
            </w:pPr>
            <w:r>
              <w:t>0.</w:t>
            </w:r>
            <w:r w:rsidRPr="004A7AC0">
              <w:t>%</w:t>
            </w:r>
          </w:p>
        </w:tc>
      </w:tr>
    </w:tbl>
    <w:p w14:paraId="159365D7" w14:textId="77777777" w:rsidR="0003149A" w:rsidRDefault="0003149A" w:rsidP="00AD5637"/>
    <w:p w14:paraId="52B6A9B1" w14:textId="77777777" w:rsidR="0003149A" w:rsidRDefault="0003149A" w:rsidP="00AD5637"/>
    <w:p w14:paraId="4498DB2B" w14:textId="77777777" w:rsidR="00AD5637" w:rsidRDefault="00AD5637" w:rsidP="00A9410B">
      <w:pPr>
        <w:pStyle w:val="ListParagraph"/>
        <w:numPr>
          <w:ilvl w:val="0"/>
          <w:numId w:val="7"/>
        </w:numPr>
      </w:pPr>
      <w:r>
        <w:t>Class of Instrument according to Appendix 1. Equities will not be subdivided by tick size in 2018 report</w:t>
      </w:r>
    </w:p>
    <w:p w14:paraId="376FA3E6" w14:textId="77777777" w:rsidR="00182C20" w:rsidRDefault="00AD5637" w:rsidP="00182C20">
      <w:pPr>
        <w:pStyle w:val="ListParagraph"/>
        <w:numPr>
          <w:ilvl w:val="0"/>
          <w:numId w:val="7"/>
        </w:numPr>
      </w:pPr>
      <w:r>
        <w:t>Whether or not there were on average more than one trade a day in this instrument class.  Logic =  Total no. trades/250</w:t>
      </w:r>
    </w:p>
    <w:p w14:paraId="0F100776" w14:textId="7AC6CB3C" w:rsidR="00182C20" w:rsidRDefault="00AD5637" w:rsidP="00182C20">
      <w:pPr>
        <w:pStyle w:val="ListParagraph"/>
        <w:numPr>
          <w:ilvl w:val="0"/>
          <w:numId w:val="7"/>
        </w:numPr>
      </w:pPr>
      <w:r>
        <w:t xml:space="preserve">Venue of transmission.  </w:t>
      </w:r>
      <w:r w:rsidR="00182C20" w:rsidRPr="00182C20">
        <w:rPr>
          <w:rFonts w:cs="Arial"/>
          <w:color w:val="000000"/>
          <w:sz w:val="21"/>
          <w:szCs w:val="21"/>
          <w:lang w:val="en-GB"/>
        </w:rPr>
        <w:t>Where portfolio managers or receivers and transmitters send orders for execution to different brokers or entities within a group, ESMA are of the view that year end information should be provided at the individual firm and not be aggregated or consolidated at the group level</w:t>
      </w:r>
      <w:r w:rsidR="00182C20">
        <w:rPr>
          <w:rStyle w:val="FootnoteReference"/>
          <w:rFonts w:cs="Arial"/>
          <w:color w:val="000000"/>
          <w:sz w:val="21"/>
          <w:szCs w:val="21"/>
          <w:lang w:val="en-GB"/>
        </w:rPr>
        <w:footnoteReference w:id="6"/>
      </w:r>
      <w:r w:rsidR="00182C20" w:rsidRPr="00182C20">
        <w:rPr>
          <w:rFonts w:cs="Arial"/>
          <w:color w:val="000000"/>
          <w:sz w:val="21"/>
          <w:szCs w:val="21"/>
          <w:lang w:val="en-GB"/>
        </w:rPr>
        <w:t xml:space="preserve">.  </w:t>
      </w:r>
      <w:r w:rsidR="00182C20">
        <w:t>As per ESMA Q&amp;A on Investor Protection Question 11 (10</w:t>
      </w:r>
      <w:r w:rsidR="00182C20" w:rsidRPr="00182C20">
        <w:rPr>
          <w:vertAlign w:val="superscript"/>
        </w:rPr>
        <w:t>th</w:t>
      </w:r>
      <w:r w:rsidR="00182C20">
        <w:t xml:space="preserve"> July 2017) – where an investment firm’s top five entities listed in the annual report and dominate by individual brokers or entities form a single group, thereby potentially displacing other third party brokers or entities that it uses on a regular basis, the investment firm could consider providing additional information on those third party brokers, in order to provide a complete picture of the various entities it selects for execution services (as per Recital 15 of RTS 28).</w:t>
      </w:r>
    </w:p>
    <w:p w14:paraId="60382EDB" w14:textId="4F902AF9" w:rsidR="00182C20" w:rsidRDefault="00182C20" w:rsidP="00182C20">
      <w:pPr>
        <w:pStyle w:val="ListParagraph"/>
        <w:numPr>
          <w:ilvl w:val="0"/>
          <w:numId w:val="7"/>
        </w:numPr>
      </w:pPr>
    </w:p>
    <w:p w14:paraId="6A0C85FE" w14:textId="2772E9CF" w:rsidR="00AD5637" w:rsidRDefault="00AD5637" w:rsidP="00A9410B">
      <w:pPr>
        <w:pStyle w:val="ListParagraph"/>
        <w:numPr>
          <w:ilvl w:val="0"/>
          <w:numId w:val="7"/>
        </w:numPr>
      </w:pPr>
    </w:p>
    <w:p w14:paraId="7D7D50EA" w14:textId="5A4FF836" w:rsidR="00AD5637" w:rsidRDefault="0020047D" w:rsidP="00A9410B">
      <w:pPr>
        <w:pStyle w:val="ListParagraph"/>
        <w:numPr>
          <w:ilvl w:val="0"/>
          <w:numId w:val="7"/>
        </w:numPr>
      </w:pPr>
      <w:r>
        <w:t xml:space="preserve">Notional </w:t>
      </w:r>
      <w:r w:rsidR="00AD5637">
        <w:t xml:space="preserve">of trades within that class of trade </w:t>
      </w:r>
      <w:r w:rsidR="000E6FDC">
        <w:t>e.g.</w:t>
      </w:r>
      <w:r w:rsidR="00AD5637">
        <w:t xml:space="preserve"> </w:t>
      </w:r>
      <w:r>
        <w:t xml:space="preserve">Notional </w:t>
      </w:r>
      <w:r w:rsidR="00AD5637">
        <w:t xml:space="preserve">of </w:t>
      </w:r>
      <w:r>
        <w:t xml:space="preserve">all </w:t>
      </w:r>
      <w:r w:rsidR="00AD5637">
        <w:t>Equity</w:t>
      </w:r>
      <w:r>
        <w:t xml:space="preserve"> trades</w:t>
      </w:r>
      <w:r w:rsidR="00AD5637">
        <w:t xml:space="preserve"> with Broker X/Total </w:t>
      </w:r>
      <w:r>
        <w:t xml:space="preserve">Notional </w:t>
      </w:r>
      <w:r w:rsidR="00AD5637">
        <w:t xml:space="preserve">of Equity </w:t>
      </w:r>
      <w:r w:rsidR="00670F5F">
        <w:t>trades</w:t>
      </w:r>
    </w:p>
    <w:p w14:paraId="4B961393" w14:textId="398C9BDE" w:rsidR="00AD5637" w:rsidRDefault="00AD5637" w:rsidP="00A9410B">
      <w:pPr>
        <w:pStyle w:val="ListParagraph"/>
        <w:numPr>
          <w:ilvl w:val="0"/>
          <w:numId w:val="7"/>
        </w:numPr>
      </w:pPr>
      <w:r>
        <w:t xml:space="preserve">Number of </w:t>
      </w:r>
      <w:r w:rsidR="00670F5F">
        <w:t xml:space="preserve">allocations </w:t>
      </w:r>
      <w:r>
        <w:t xml:space="preserve">within that class of trade </w:t>
      </w:r>
      <w:r w:rsidR="000E6FDC">
        <w:t>e.g.</w:t>
      </w:r>
      <w:r>
        <w:t xml:space="preserve"> Number of Equity </w:t>
      </w:r>
      <w:r w:rsidR="00670F5F">
        <w:t xml:space="preserve">allocations </w:t>
      </w:r>
      <w:r>
        <w:t xml:space="preserve">with Broker X/Total Number of Equity </w:t>
      </w:r>
      <w:r w:rsidR="00670F5F">
        <w:t>allocations</w:t>
      </w:r>
    </w:p>
    <w:p w14:paraId="5779BDE6" w14:textId="77777777" w:rsidR="00AD5637" w:rsidRDefault="00AD5637" w:rsidP="00A9410B">
      <w:pPr>
        <w:pStyle w:val="ListParagraph"/>
        <w:numPr>
          <w:ilvl w:val="0"/>
          <w:numId w:val="7"/>
        </w:numPr>
      </w:pPr>
      <w:r>
        <w:t xml:space="preserve">Percentage of trades with that counterparty considered to be Directed Orders </w:t>
      </w:r>
      <w:r w:rsidR="000E6FDC">
        <w:t>e.g.</w:t>
      </w:r>
      <w:r>
        <w:t xml:space="preserve"> An order whose execution destination has been decided by the client rather than the execution desk</w:t>
      </w:r>
    </w:p>
    <w:p w14:paraId="7477160A" w14:textId="77777777" w:rsidR="00AD5637" w:rsidRDefault="00AD5637" w:rsidP="00AD5637"/>
    <w:p w14:paraId="179576A5" w14:textId="77777777" w:rsidR="00AD5637" w:rsidRDefault="00AD5637" w:rsidP="00AD5637"/>
    <w:p w14:paraId="43BCB143" w14:textId="77777777" w:rsidR="00AD5637" w:rsidRDefault="00AD5637" w:rsidP="00AD5637"/>
    <w:p w14:paraId="38E93C58" w14:textId="77777777" w:rsidR="0003149A" w:rsidRDefault="0003149A">
      <w:pPr>
        <w:rPr>
          <w:b/>
        </w:rPr>
      </w:pPr>
      <w:r>
        <w:rPr>
          <w:b/>
        </w:rPr>
        <w:br w:type="page"/>
      </w:r>
    </w:p>
    <w:p w14:paraId="66BCD01C" w14:textId="77777777" w:rsidR="00AD5637" w:rsidRPr="00A23168" w:rsidRDefault="008C6B93" w:rsidP="00AD5637">
      <w:pPr>
        <w:rPr>
          <w:b/>
        </w:rPr>
      </w:pPr>
      <w:r>
        <w:rPr>
          <w:b/>
        </w:rPr>
        <w:lastRenderedPageBreak/>
        <w:t>Sell Side/</w:t>
      </w:r>
      <w:r w:rsidR="00AD5637" w:rsidRPr="00A23168">
        <w:rPr>
          <w:b/>
        </w:rPr>
        <w:t>Buy Side</w:t>
      </w:r>
      <w:r w:rsidR="00AD5637">
        <w:rPr>
          <w:b/>
        </w:rPr>
        <w:t>–</w:t>
      </w:r>
      <w:r w:rsidR="00AD5637" w:rsidRPr="00A23168">
        <w:rPr>
          <w:b/>
        </w:rPr>
        <w:t xml:space="preserve"> </w:t>
      </w:r>
      <w:r>
        <w:rPr>
          <w:b/>
        </w:rPr>
        <w:t xml:space="preserve">Trading via a MTF/OTF - (RTS 28) </w:t>
      </w:r>
    </w:p>
    <w:p w14:paraId="7488C1B2" w14:textId="77777777" w:rsidR="00AD5637" w:rsidRDefault="00AD5637" w:rsidP="00AD5637"/>
    <w:p w14:paraId="3CAF5663" w14:textId="75913AF7" w:rsidR="000E1486" w:rsidRDefault="00AD5637" w:rsidP="00670F5F">
      <w:pPr>
        <w:pStyle w:val="ListParagraph"/>
        <w:numPr>
          <w:ilvl w:val="0"/>
          <w:numId w:val="20"/>
        </w:numPr>
      </w:pPr>
      <w:r>
        <w:t>Assumed that no Aggressive of Passive columns as there is no TAG 851 available</w:t>
      </w:r>
      <w:r w:rsidR="0088504D">
        <w:t xml:space="preserve"> as yet</w:t>
      </w:r>
      <w:r>
        <w:t xml:space="preserve"> in this asset class</w:t>
      </w:r>
    </w:p>
    <w:p w14:paraId="4FC6E702" w14:textId="71FA9A90" w:rsidR="000D27E0" w:rsidRPr="001466D0" w:rsidRDefault="00670F5F" w:rsidP="001466D0">
      <w:pPr>
        <w:pStyle w:val="ListParagraph"/>
        <w:numPr>
          <w:ilvl w:val="0"/>
          <w:numId w:val="20"/>
        </w:numPr>
        <w:rPr>
          <w:lang w:val="en-GB"/>
        </w:rPr>
      </w:pPr>
      <w:r w:rsidRPr="0088504D">
        <w:t xml:space="preserve">Assumed venue MIC will be denoted in </w:t>
      </w:r>
      <w:r w:rsidRPr="000E1486">
        <w:rPr>
          <w:b/>
        </w:rPr>
        <w:t>(3)</w:t>
      </w:r>
      <w:r w:rsidR="001466D0" w:rsidRPr="00FF5C88">
        <w:t xml:space="preserve"> a</w:t>
      </w:r>
      <w:r w:rsidR="001466D0" w:rsidRPr="001466D0">
        <w:t xml:space="preserve">s </w:t>
      </w:r>
      <w:r w:rsidR="001466D0">
        <w:t>the</w:t>
      </w:r>
      <w:r w:rsidR="001466D0" w:rsidRPr="001466D0">
        <w:t xml:space="preserve"> </w:t>
      </w:r>
      <w:r w:rsidR="001466D0">
        <w:t xml:space="preserve">buy-side firm is executing on a venue, </w:t>
      </w:r>
      <w:r w:rsidR="000D27E0" w:rsidRPr="001466D0">
        <w:rPr>
          <w:lang w:val="en-GB"/>
        </w:rPr>
        <w:t>buy-side firm would be obligated to complete an RTS 28 report identifying the venue or the underlying counterparty (broker) as one of its Top 5 execution venue when concluding voice trades on a venue</w:t>
      </w:r>
      <w:r w:rsidR="001466D0">
        <w:rPr>
          <w:lang w:val="en-GB"/>
        </w:rPr>
        <w:t>.</w:t>
      </w:r>
    </w:p>
    <w:p w14:paraId="67139AFD" w14:textId="6FDA2F34" w:rsidR="001466D0" w:rsidRDefault="001466D0" w:rsidP="001466D0">
      <w:pPr>
        <w:pStyle w:val="ListParagraph"/>
        <w:numPr>
          <w:ilvl w:val="0"/>
          <w:numId w:val="20"/>
        </w:numPr>
      </w:pPr>
      <w:r>
        <w:t>As per ESMA Q&amp;A on Investor Protection Question 11 (10</w:t>
      </w:r>
      <w:r w:rsidRPr="001466D0">
        <w:rPr>
          <w:vertAlign w:val="superscript"/>
        </w:rPr>
        <w:t>th</w:t>
      </w:r>
      <w:r>
        <w:t xml:space="preserve"> July 2017) – where an investment firm’s top five entities listed in the annual report and dominate by individual brokers or entities from a single group, thereby potentially displacing other third party brokers or entities that it uses on a regular basis, the investment firm could consider providing additional information on those third party brokers, in order to provide a complete picture of the various entities it selects for execution services (as per Recital 15 of RTS 28).</w:t>
      </w:r>
    </w:p>
    <w:p w14:paraId="69ED4D99" w14:textId="77777777" w:rsidR="000D27E0" w:rsidRDefault="000D27E0" w:rsidP="00670F5F"/>
    <w:p w14:paraId="0C281586" w14:textId="77777777" w:rsidR="00AD5637" w:rsidRDefault="00AD5637" w:rsidP="00AD5637"/>
    <w:tbl>
      <w:tblPr>
        <w:tblStyle w:val="TableGrid"/>
        <w:tblW w:w="8755" w:type="dxa"/>
        <w:tblLayout w:type="fixed"/>
        <w:tblLook w:val="04A0" w:firstRow="1" w:lastRow="0" w:firstColumn="1" w:lastColumn="0" w:noHBand="0" w:noVBand="1"/>
      </w:tblPr>
      <w:tblGrid>
        <w:gridCol w:w="2943"/>
        <w:gridCol w:w="1937"/>
        <w:gridCol w:w="1937"/>
        <w:gridCol w:w="1938"/>
      </w:tblGrid>
      <w:tr w:rsidR="00432C2E" w:rsidRPr="004A7AC0" w14:paraId="59E219BF" w14:textId="77777777" w:rsidTr="00B1175B">
        <w:trPr>
          <w:trHeight w:val="353"/>
        </w:trPr>
        <w:tc>
          <w:tcPr>
            <w:tcW w:w="2943" w:type="dxa"/>
            <w:noWrap/>
            <w:hideMark/>
          </w:tcPr>
          <w:p w14:paraId="78CE76A4" w14:textId="77777777" w:rsidR="00432C2E" w:rsidRPr="004A7AC0" w:rsidRDefault="00432C2E" w:rsidP="00B1175B">
            <w:pPr>
              <w:jc w:val="center"/>
            </w:pPr>
            <w:r w:rsidRPr="004A7AC0">
              <w:t xml:space="preserve">Class of Instrument </w:t>
            </w:r>
            <w:r w:rsidRPr="004A7AC0">
              <w:rPr>
                <w:b/>
              </w:rPr>
              <w:t>(1)</w:t>
            </w:r>
          </w:p>
        </w:tc>
        <w:tc>
          <w:tcPr>
            <w:tcW w:w="5812" w:type="dxa"/>
            <w:gridSpan w:val="3"/>
            <w:noWrap/>
            <w:hideMark/>
          </w:tcPr>
          <w:p w14:paraId="23AA5DED" w14:textId="77777777" w:rsidR="00432C2E" w:rsidRPr="004A7AC0" w:rsidRDefault="00432C2E" w:rsidP="00B1175B">
            <w:pPr>
              <w:jc w:val="center"/>
            </w:pPr>
            <w:r>
              <w:t>Debt Instrument: Bonds</w:t>
            </w:r>
          </w:p>
        </w:tc>
      </w:tr>
      <w:tr w:rsidR="00432C2E" w:rsidRPr="004A7AC0" w14:paraId="595C5A99" w14:textId="77777777" w:rsidTr="00B1175B">
        <w:trPr>
          <w:trHeight w:val="353"/>
        </w:trPr>
        <w:tc>
          <w:tcPr>
            <w:tcW w:w="2943" w:type="dxa"/>
            <w:noWrap/>
            <w:hideMark/>
          </w:tcPr>
          <w:p w14:paraId="5202AD9F" w14:textId="77777777" w:rsidR="00432C2E" w:rsidRPr="004A7AC0" w:rsidRDefault="00432C2E" w:rsidP="00B1175B">
            <w:pPr>
              <w:jc w:val="center"/>
            </w:pPr>
            <w:r w:rsidRPr="004A7AC0">
              <w:t xml:space="preserve">Notification if &lt;1 average trade per business day in the previous year  </w:t>
            </w:r>
            <w:r w:rsidRPr="004A7AC0">
              <w:rPr>
                <w:b/>
              </w:rPr>
              <w:t>(2)</w:t>
            </w:r>
          </w:p>
        </w:tc>
        <w:tc>
          <w:tcPr>
            <w:tcW w:w="5812" w:type="dxa"/>
            <w:gridSpan w:val="3"/>
            <w:noWrap/>
            <w:vAlign w:val="center"/>
            <w:hideMark/>
          </w:tcPr>
          <w:p w14:paraId="4BCB828E" w14:textId="77777777" w:rsidR="00432C2E" w:rsidRPr="004A7AC0" w:rsidRDefault="00432C2E" w:rsidP="00B1175B">
            <w:pPr>
              <w:jc w:val="center"/>
            </w:pPr>
            <w:r w:rsidRPr="004A7AC0">
              <w:t>N</w:t>
            </w:r>
          </w:p>
        </w:tc>
      </w:tr>
      <w:tr w:rsidR="00432C2E" w:rsidRPr="004A7AC0" w14:paraId="1FB1C4F2" w14:textId="77777777" w:rsidTr="00B1175B">
        <w:trPr>
          <w:trHeight w:val="1192"/>
        </w:trPr>
        <w:tc>
          <w:tcPr>
            <w:tcW w:w="2943" w:type="dxa"/>
            <w:hideMark/>
          </w:tcPr>
          <w:p w14:paraId="470C97B1" w14:textId="77777777" w:rsidR="00432C2E" w:rsidRPr="004A7AC0" w:rsidRDefault="00432C2E" w:rsidP="00B1175B">
            <w:pPr>
              <w:jc w:val="center"/>
            </w:pPr>
            <w:r w:rsidRPr="004A7AC0">
              <w:t xml:space="preserve">Top five execution venues ranked in terms of trading volumes (descending order)  </w:t>
            </w:r>
            <w:r w:rsidRPr="004A7AC0">
              <w:rPr>
                <w:b/>
              </w:rPr>
              <w:t>(3)</w:t>
            </w:r>
          </w:p>
        </w:tc>
        <w:tc>
          <w:tcPr>
            <w:tcW w:w="1937" w:type="dxa"/>
            <w:hideMark/>
          </w:tcPr>
          <w:p w14:paraId="492441A9" w14:textId="77777777" w:rsidR="00432C2E" w:rsidRPr="004A7AC0" w:rsidRDefault="00432C2E" w:rsidP="00B1175B">
            <w:pPr>
              <w:jc w:val="center"/>
            </w:pPr>
            <w:r w:rsidRPr="004A7AC0">
              <w:t xml:space="preserve">Proportion of volume traded as a percentage of total in that class </w:t>
            </w:r>
            <w:r w:rsidRPr="004A7AC0">
              <w:rPr>
                <w:b/>
              </w:rPr>
              <w:t>(4)</w:t>
            </w:r>
          </w:p>
        </w:tc>
        <w:tc>
          <w:tcPr>
            <w:tcW w:w="1937" w:type="dxa"/>
            <w:hideMark/>
          </w:tcPr>
          <w:p w14:paraId="0EF7BA80" w14:textId="77777777" w:rsidR="00432C2E" w:rsidRPr="004A7AC0" w:rsidRDefault="00432C2E" w:rsidP="00B1175B">
            <w:pPr>
              <w:jc w:val="center"/>
            </w:pPr>
            <w:r w:rsidRPr="004A7AC0">
              <w:t xml:space="preserve">Proportion of orders executed as percentage of total in that class </w:t>
            </w:r>
            <w:r w:rsidRPr="004A7AC0">
              <w:rPr>
                <w:b/>
              </w:rPr>
              <w:t>(5)</w:t>
            </w:r>
          </w:p>
        </w:tc>
        <w:tc>
          <w:tcPr>
            <w:tcW w:w="1938" w:type="dxa"/>
            <w:hideMark/>
          </w:tcPr>
          <w:p w14:paraId="50BA8CA0" w14:textId="77777777" w:rsidR="00432C2E" w:rsidRPr="004A7AC0" w:rsidRDefault="00432C2E" w:rsidP="00B1175B">
            <w:pPr>
              <w:jc w:val="center"/>
            </w:pPr>
            <w:r w:rsidRPr="004A7AC0">
              <w:t xml:space="preserve">Percentage of directed orders </w:t>
            </w:r>
            <w:r w:rsidRPr="004A7AC0">
              <w:rPr>
                <w:b/>
              </w:rPr>
              <w:t>(6)</w:t>
            </w:r>
          </w:p>
        </w:tc>
      </w:tr>
      <w:tr w:rsidR="00432C2E" w:rsidRPr="004A7AC0" w14:paraId="3642E6EC" w14:textId="77777777" w:rsidTr="00B1175B">
        <w:trPr>
          <w:trHeight w:val="353"/>
        </w:trPr>
        <w:tc>
          <w:tcPr>
            <w:tcW w:w="2943" w:type="dxa"/>
            <w:noWrap/>
            <w:vAlign w:val="center"/>
            <w:hideMark/>
          </w:tcPr>
          <w:p w14:paraId="01DD4432" w14:textId="3608823F" w:rsidR="00432C2E" w:rsidRPr="004A7AC0" w:rsidRDefault="001466D0" w:rsidP="00B1175B">
            <w:pPr>
              <w:jc w:val="center"/>
            </w:pPr>
            <w:r>
              <w:t>MIC 001</w:t>
            </w:r>
          </w:p>
        </w:tc>
        <w:tc>
          <w:tcPr>
            <w:tcW w:w="1937" w:type="dxa"/>
            <w:noWrap/>
            <w:vAlign w:val="center"/>
            <w:hideMark/>
          </w:tcPr>
          <w:p w14:paraId="208DE232" w14:textId="77777777" w:rsidR="00432C2E" w:rsidRPr="004A7AC0" w:rsidRDefault="00432C2E" w:rsidP="00B1175B">
            <w:pPr>
              <w:jc w:val="center"/>
            </w:pPr>
            <w:r>
              <w:t>10.5</w:t>
            </w:r>
            <w:r w:rsidRPr="004A7AC0">
              <w:t>%</w:t>
            </w:r>
          </w:p>
        </w:tc>
        <w:tc>
          <w:tcPr>
            <w:tcW w:w="1937" w:type="dxa"/>
            <w:noWrap/>
            <w:vAlign w:val="center"/>
            <w:hideMark/>
          </w:tcPr>
          <w:p w14:paraId="7E2B5C33" w14:textId="77777777" w:rsidR="00432C2E" w:rsidRPr="004A7AC0" w:rsidRDefault="00432C2E" w:rsidP="00B1175B">
            <w:pPr>
              <w:jc w:val="center"/>
            </w:pPr>
            <w:r>
              <w:t>9</w:t>
            </w:r>
            <w:r w:rsidRPr="004A7AC0">
              <w:t>.3%</w:t>
            </w:r>
          </w:p>
        </w:tc>
        <w:tc>
          <w:tcPr>
            <w:tcW w:w="1938" w:type="dxa"/>
            <w:noWrap/>
            <w:vAlign w:val="center"/>
            <w:hideMark/>
          </w:tcPr>
          <w:p w14:paraId="607CFEAC" w14:textId="77777777" w:rsidR="00432C2E" w:rsidRPr="004A7AC0" w:rsidRDefault="00432C2E" w:rsidP="00B1175B">
            <w:pPr>
              <w:jc w:val="center"/>
            </w:pPr>
            <w:r w:rsidRPr="004A7AC0">
              <w:t>0%</w:t>
            </w:r>
          </w:p>
        </w:tc>
      </w:tr>
      <w:tr w:rsidR="00432C2E" w:rsidRPr="004A7AC0" w14:paraId="1D0C3B2C" w14:textId="77777777" w:rsidTr="00B1175B">
        <w:trPr>
          <w:trHeight w:val="353"/>
        </w:trPr>
        <w:tc>
          <w:tcPr>
            <w:tcW w:w="2943" w:type="dxa"/>
            <w:noWrap/>
            <w:vAlign w:val="center"/>
            <w:hideMark/>
          </w:tcPr>
          <w:p w14:paraId="3FA1CECA" w14:textId="7F796F25" w:rsidR="00432C2E" w:rsidRPr="004A7AC0" w:rsidRDefault="001466D0" w:rsidP="00B1175B">
            <w:pPr>
              <w:jc w:val="center"/>
            </w:pPr>
            <w:r>
              <w:t xml:space="preserve"> MIC 002</w:t>
            </w:r>
          </w:p>
        </w:tc>
        <w:tc>
          <w:tcPr>
            <w:tcW w:w="1937" w:type="dxa"/>
            <w:noWrap/>
            <w:vAlign w:val="center"/>
            <w:hideMark/>
          </w:tcPr>
          <w:p w14:paraId="3D86FA2B" w14:textId="77777777" w:rsidR="00432C2E" w:rsidRPr="004A7AC0" w:rsidRDefault="00432C2E" w:rsidP="00B1175B">
            <w:pPr>
              <w:jc w:val="center"/>
            </w:pPr>
            <w:r>
              <w:t>8.2%</w:t>
            </w:r>
          </w:p>
        </w:tc>
        <w:tc>
          <w:tcPr>
            <w:tcW w:w="1937" w:type="dxa"/>
            <w:noWrap/>
            <w:vAlign w:val="center"/>
            <w:hideMark/>
          </w:tcPr>
          <w:p w14:paraId="7E3814D7" w14:textId="77777777" w:rsidR="00432C2E" w:rsidRPr="004A7AC0" w:rsidRDefault="00432C2E" w:rsidP="00B1175B">
            <w:pPr>
              <w:jc w:val="center"/>
            </w:pPr>
            <w:r w:rsidRPr="004A7AC0">
              <w:t>4.2%</w:t>
            </w:r>
          </w:p>
        </w:tc>
        <w:tc>
          <w:tcPr>
            <w:tcW w:w="1938" w:type="dxa"/>
            <w:noWrap/>
            <w:vAlign w:val="center"/>
            <w:hideMark/>
          </w:tcPr>
          <w:p w14:paraId="48847869" w14:textId="77777777" w:rsidR="00432C2E" w:rsidRPr="004A7AC0" w:rsidRDefault="00432C2E" w:rsidP="00B1175B">
            <w:pPr>
              <w:jc w:val="center"/>
            </w:pPr>
            <w:r w:rsidRPr="004A7AC0">
              <w:t>0</w:t>
            </w:r>
            <w:r>
              <w:t>.5</w:t>
            </w:r>
            <w:r w:rsidRPr="004A7AC0">
              <w:t>%</w:t>
            </w:r>
          </w:p>
        </w:tc>
      </w:tr>
      <w:tr w:rsidR="00432C2E" w:rsidRPr="004A7AC0" w14:paraId="254400BA" w14:textId="77777777" w:rsidTr="00B1175B">
        <w:trPr>
          <w:trHeight w:val="353"/>
        </w:trPr>
        <w:tc>
          <w:tcPr>
            <w:tcW w:w="2943" w:type="dxa"/>
            <w:noWrap/>
            <w:vAlign w:val="center"/>
            <w:hideMark/>
          </w:tcPr>
          <w:p w14:paraId="7946D774" w14:textId="3CC9F48D" w:rsidR="00432C2E" w:rsidRPr="004A7AC0" w:rsidRDefault="001466D0" w:rsidP="00B1175B">
            <w:pPr>
              <w:jc w:val="center"/>
            </w:pPr>
            <w:r>
              <w:t xml:space="preserve"> MIC 003</w:t>
            </w:r>
          </w:p>
        </w:tc>
        <w:tc>
          <w:tcPr>
            <w:tcW w:w="1937" w:type="dxa"/>
            <w:noWrap/>
            <w:vAlign w:val="center"/>
            <w:hideMark/>
          </w:tcPr>
          <w:p w14:paraId="2DC4807E" w14:textId="77777777" w:rsidR="00432C2E" w:rsidRPr="004A7AC0" w:rsidRDefault="00432C2E" w:rsidP="00B1175B">
            <w:pPr>
              <w:jc w:val="center"/>
            </w:pPr>
            <w:r>
              <w:t>8.1%</w:t>
            </w:r>
          </w:p>
        </w:tc>
        <w:tc>
          <w:tcPr>
            <w:tcW w:w="1937" w:type="dxa"/>
            <w:noWrap/>
            <w:vAlign w:val="center"/>
            <w:hideMark/>
          </w:tcPr>
          <w:p w14:paraId="66822548" w14:textId="77777777" w:rsidR="00432C2E" w:rsidRPr="004A7AC0" w:rsidRDefault="00432C2E" w:rsidP="00B1175B">
            <w:pPr>
              <w:jc w:val="center"/>
            </w:pPr>
            <w:r>
              <w:t>8</w:t>
            </w:r>
            <w:r w:rsidRPr="004A7AC0">
              <w:t>.5%</w:t>
            </w:r>
          </w:p>
        </w:tc>
        <w:tc>
          <w:tcPr>
            <w:tcW w:w="1938" w:type="dxa"/>
            <w:noWrap/>
            <w:vAlign w:val="center"/>
            <w:hideMark/>
          </w:tcPr>
          <w:p w14:paraId="29DD2E3F" w14:textId="77777777" w:rsidR="00432C2E" w:rsidRPr="004A7AC0" w:rsidRDefault="00432C2E" w:rsidP="00B1175B">
            <w:pPr>
              <w:jc w:val="center"/>
            </w:pPr>
            <w:r w:rsidRPr="004A7AC0">
              <w:t>0%</w:t>
            </w:r>
          </w:p>
        </w:tc>
      </w:tr>
      <w:tr w:rsidR="00432C2E" w:rsidRPr="004A7AC0" w14:paraId="06453935" w14:textId="77777777" w:rsidTr="00B1175B">
        <w:trPr>
          <w:trHeight w:val="353"/>
        </w:trPr>
        <w:tc>
          <w:tcPr>
            <w:tcW w:w="2943" w:type="dxa"/>
            <w:noWrap/>
            <w:vAlign w:val="center"/>
            <w:hideMark/>
          </w:tcPr>
          <w:p w14:paraId="3CDCB13E" w14:textId="62CDE9EE" w:rsidR="00432C2E" w:rsidRPr="004A7AC0" w:rsidRDefault="001466D0" w:rsidP="00B1175B">
            <w:pPr>
              <w:jc w:val="center"/>
            </w:pPr>
            <w:r>
              <w:t xml:space="preserve"> MIC 004</w:t>
            </w:r>
          </w:p>
        </w:tc>
        <w:tc>
          <w:tcPr>
            <w:tcW w:w="1937" w:type="dxa"/>
            <w:noWrap/>
            <w:vAlign w:val="center"/>
            <w:hideMark/>
          </w:tcPr>
          <w:p w14:paraId="798870E9" w14:textId="77777777" w:rsidR="00432C2E" w:rsidRPr="004A7AC0" w:rsidRDefault="00432C2E" w:rsidP="00B1175B">
            <w:pPr>
              <w:jc w:val="center"/>
            </w:pPr>
            <w:r>
              <w:t>7.8%</w:t>
            </w:r>
          </w:p>
        </w:tc>
        <w:tc>
          <w:tcPr>
            <w:tcW w:w="1937" w:type="dxa"/>
            <w:noWrap/>
            <w:vAlign w:val="center"/>
            <w:hideMark/>
          </w:tcPr>
          <w:p w14:paraId="02608F3D" w14:textId="77777777" w:rsidR="00432C2E" w:rsidRPr="004A7AC0" w:rsidRDefault="00432C2E" w:rsidP="00B1175B">
            <w:pPr>
              <w:jc w:val="center"/>
            </w:pPr>
            <w:r>
              <w:t>5</w:t>
            </w:r>
            <w:r w:rsidRPr="004A7AC0">
              <w:t>.4%</w:t>
            </w:r>
          </w:p>
        </w:tc>
        <w:tc>
          <w:tcPr>
            <w:tcW w:w="1938" w:type="dxa"/>
            <w:noWrap/>
            <w:vAlign w:val="center"/>
            <w:hideMark/>
          </w:tcPr>
          <w:p w14:paraId="4D63BC8D" w14:textId="77777777" w:rsidR="00432C2E" w:rsidRPr="004A7AC0" w:rsidRDefault="00432C2E" w:rsidP="00B1175B">
            <w:pPr>
              <w:jc w:val="center"/>
            </w:pPr>
            <w:r w:rsidRPr="004A7AC0">
              <w:t>0%</w:t>
            </w:r>
          </w:p>
        </w:tc>
      </w:tr>
      <w:tr w:rsidR="00432C2E" w:rsidRPr="004A7AC0" w14:paraId="098A6B69" w14:textId="77777777" w:rsidTr="00B1175B">
        <w:trPr>
          <w:trHeight w:val="353"/>
        </w:trPr>
        <w:tc>
          <w:tcPr>
            <w:tcW w:w="2943" w:type="dxa"/>
            <w:noWrap/>
            <w:vAlign w:val="center"/>
            <w:hideMark/>
          </w:tcPr>
          <w:p w14:paraId="28B0516A" w14:textId="205FF0DE" w:rsidR="00432C2E" w:rsidRPr="004A7AC0" w:rsidRDefault="001466D0" w:rsidP="00B1175B">
            <w:pPr>
              <w:jc w:val="center"/>
            </w:pPr>
            <w:r>
              <w:t>MIC 005</w:t>
            </w:r>
          </w:p>
        </w:tc>
        <w:tc>
          <w:tcPr>
            <w:tcW w:w="1937" w:type="dxa"/>
            <w:noWrap/>
            <w:vAlign w:val="center"/>
            <w:hideMark/>
          </w:tcPr>
          <w:p w14:paraId="0F301AF7" w14:textId="77777777" w:rsidR="00432C2E" w:rsidRPr="004A7AC0" w:rsidRDefault="00432C2E" w:rsidP="00B1175B">
            <w:pPr>
              <w:jc w:val="center"/>
            </w:pPr>
            <w:r>
              <w:t>6.9</w:t>
            </w:r>
            <w:r w:rsidRPr="004A7AC0">
              <w:t>%</w:t>
            </w:r>
          </w:p>
        </w:tc>
        <w:tc>
          <w:tcPr>
            <w:tcW w:w="1937" w:type="dxa"/>
            <w:noWrap/>
            <w:vAlign w:val="center"/>
            <w:hideMark/>
          </w:tcPr>
          <w:p w14:paraId="438725D6" w14:textId="77777777" w:rsidR="00432C2E" w:rsidRPr="004A7AC0" w:rsidRDefault="00432C2E" w:rsidP="00B1175B">
            <w:pPr>
              <w:jc w:val="center"/>
            </w:pPr>
            <w:r w:rsidRPr="004A7AC0">
              <w:t>7.1%</w:t>
            </w:r>
          </w:p>
        </w:tc>
        <w:tc>
          <w:tcPr>
            <w:tcW w:w="1938" w:type="dxa"/>
            <w:noWrap/>
            <w:vAlign w:val="center"/>
            <w:hideMark/>
          </w:tcPr>
          <w:p w14:paraId="32C34DBF" w14:textId="77777777" w:rsidR="00432C2E" w:rsidRPr="004A7AC0" w:rsidRDefault="00432C2E" w:rsidP="00B1175B">
            <w:pPr>
              <w:jc w:val="center"/>
            </w:pPr>
            <w:r>
              <w:t>0.</w:t>
            </w:r>
            <w:r w:rsidRPr="004A7AC0">
              <w:t>%</w:t>
            </w:r>
          </w:p>
        </w:tc>
      </w:tr>
    </w:tbl>
    <w:p w14:paraId="1E475883" w14:textId="77777777" w:rsidR="00AD5637" w:rsidRDefault="00AD5637" w:rsidP="00AD5637"/>
    <w:p w14:paraId="321B6A5D" w14:textId="77777777" w:rsidR="00AD5637" w:rsidRDefault="00AD5637" w:rsidP="00A9410B">
      <w:pPr>
        <w:pStyle w:val="ListParagraph"/>
        <w:numPr>
          <w:ilvl w:val="0"/>
          <w:numId w:val="8"/>
        </w:numPr>
      </w:pPr>
      <w:r>
        <w:t xml:space="preserve">Class of Instrument according to Appendix 1. </w:t>
      </w:r>
    </w:p>
    <w:p w14:paraId="60CC4448" w14:textId="77777777" w:rsidR="00AD5637" w:rsidRDefault="00AD5637" w:rsidP="00A9410B">
      <w:pPr>
        <w:pStyle w:val="ListParagraph"/>
        <w:numPr>
          <w:ilvl w:val="0"/>
          <w:numId w:val="8"/>
        </w:numPr>
      </w:pPr>
      <w:r>
        <w:t>Whether or not there were on average more than one trade a day in this instrument class.  Logic =  Total no. trades/250</w:t>
      </w:r>
    </w:p>
    <w:p w14:paraId="17645779" w14:textId="291C3930" w:rsidR="00AD5637" w:rsidRPr="00261904" w:rsidRDefault="00AD5637" w:rsidP="00A9410B">
      <w:pPr>
        <w:pStyle w:val="ListParagraph"/>
        <w:numPr>
          <w:ilvl w:val="0"/>
          <w:numId w:val="8"/>
        </w:numPr>
      </w:pPr>
      <w:r w:rsidRPr="00261904">
        <w:t>Venue of execution</w:t>
      </w:r>
      <w:r w:rsidR="00386461">
        <w:t xml:space="preserve"> identified by MIC code</w:t>
      </w:r>
      <w:r w:rsidRPr="00261904">
        <w:t xml:space="preserve">. </w:t>
      </w:r>
    </w:p>
    <w:p w14:paraId="7F7C8436" w14:textId="48D15771" w:rsidR="00AD5637" w:rsidRDefault="00670F5F" w:rsidP="00A9410B">
      <w:pPr>
        <w:pStyle w:val="ListParagraph"/>
        <w:numPr>
          <w:ilvl w:val="0"/>
          <w:numId w:val="8"/>
        </w:numPr>
      </w:pPr>
      <w:r w:rsidRPr="00261904">
        <w:t xml:space="preserve">Notional </w:t>
      </w:r>
      <w:r w:rsidR="00AD5637" w:rsidRPr="00261904">
        <w:t xml:space="preserve">of trades within that class of trade </w:t>
      </w:r>
      <w:r w:rsidR="000E6FDC" w:rsidRPr="00261904">
        <w:t>e.g.</w:t>
      </w:r>
      <w:r w:rsidR="00AD5637" w:rsidRPr="00261904">
        <w:t xml:space="preserve"> </w:t>
      </w:r>
      <w:r w:rsidRPr="00261904">
        <w:t xml:space="preserve">Notional </w:t>
      </w:r>
      <w:r w:rsidR="00AD5637" w:rsidRPr="00261904">
        <w:t xml:space="preserve">of </w:t>
      </w:r>
      <w:r w:rsidRPr="00261904">
        <w:t xml:space="preserve">all </w:t>
      </w:r>
      <w:r w:rsidR="00AD5637" w:rsidRPr="00261904">
        <w:t>Bond</w:t>
      </w:r>
      <w:r w:rsidRPr="00261904">
        <w:t xml:space="preserve"> trade</w:t>
      </w:r>
      <w:r w:rsidR="00AD5637" w:rsidRPr="00261904">
        <w:t>s with</w:t>
      </w:r>
      <w:r w:rsidR="00AD5637">
        <w:t xml:space="preserve"> Broker X/Total </w:t>
      </w:r>
      <w:r>
        <w:t xml:space="preserve">Notional </w:t>
      </w:r>
      <w:r w:rsidR="00AD5637">
        <w:t>of Bond</w:t>
      </w:r>
      <w:r>
        <w:t xml:space="preserve"> trade</w:t>
      </w:r>
      <w:r w:rsidR="00AD5637">
        <w:t>s</w:t>
      </w:r>
    </w:p>
    <w:p w14:paraId="66E901DA" w14:textId="22146B9C" w:rsidR="00AD5637" w:rsidRDefault="00AD5637" w:rsidP="00A9410B">
      <w:pPr>
        <w:pStyle w:val="ListParagraph"/>
        <w:numPr>
          <w:ilvl w:val="0"/>
          <w:numId w:val="8"/>
        </w:numPr>
      </w:pPr>
      <w:r>
        <w:t xml:space="preserve">Number of </w:t>
      </w:r>
      <w:r w:rsidR="00670F5F">
        <w:t xml:space="preserve">allocations </w:t>
      </w:r>
      <w:r>
        <w:t xml:space="preserve">within that class of trade </w:t>
      </w:r>
      <w:r w:rsidR="000E6FDC">
        <w:t>e.g.</w:t>
      </w:r>
      <w:r>
        <w:t xml:space="preserve"> Number of Bond</w:t>
      </w:r>
      <w:r w:rsidR="00670F5F">
        <w:t xml:space="preserve"> allocation</w:t>
      </w:r>
      <w:r>
        <w:t>s with Broker X/Total Number of Bond</w:t>
      </w:r>
      <w:r w:rsidR="00670F5F">
        <w:t xml:space="preserve"> allocation</w:t>
      </w:r>
      <w:r>
        <w:t>s</w:t>
      </w:r>
    </w:p>
    <w:p w14:paraId="13F8FA50" w14:textId="77777777" w:rsidR="00AD5637" w:rsidRDefault="00AD5637" w:rsidP="00A9410B">
      <w:pPr>
        <w:pStyle w:val="ListParagraph"/>
        <w:numPr>
          <w:ilvl w:val="0"/>
          <w:numId w:val="8"/>
        </w:numPr>
      </w:pPr>
      <w:r>
        <w:t xml:space="preserve">Percentage of trades with that counterparty considered to be Directed Orders </w:t>
      </w:r>
      <w:r w:rsidR="000E6FDC">
        <w:t>e.g.</w:t>
      </w:r>
      <w:r>
        <w:t xml:space="preserve"> An order whose execution destination has been decided by the client rather than the execution desk</w:t>
      </w:r>
    </w:p>
    <w:p w14:paraId="51A79B0A" w14:textId="77777777" w:rsidR="00AD5637" w:rsidRDefault="00AD5637" w:rsidP="00AD5637"/>
    <w:p w14:paraId="25F3AF84" w14:textId="77777777" w:rsidR="00AD5637" w:rsidRDefault="00AD5637" w:rsidP="00AD5637"/>
    <w:p w14:paraId="10A12F7A" w14:textId="77777777" w:rsidR="00AD5637" w:rsidRPr="008D2FA9" w:rsidRDefault="00AD5637" w:rsidP="00AD5637">
      <w:pPr>
        <w:rPr>
          <w:b/>
        </w:rPr>
      </w:pPr>
    </w:p>
    <w:p w14:paraId="12A70A9A" w14:textId="77777777" w:rsidR="00143B49" w:rsidRDefault="00143B49">
      <w:pPr>
        <w:rPr>
          <w:b/>
          <w:highlight w:val="yellow"/>
          <w:lang w:val="en-GB"/>
        </w:rPr>
      </w:pPr>
    </w:p>
    <w:p w14:paraId="2D4E8106" w14:textId="1073DEA9" w:rsidR="00FB0D02" w:rsidRDefault="00FB0D02">
      <w:pPr>
        <w:rPr>
          <w:b/>
          <w:highlight w:val="yellow"/>
          <w:lang w:val="en-GB"/>
        </w:rPr>
      </w:pPr>
      <w:r>
        <w:rPr>
          <w:b/>
          <w:highlight w:val="yellow"/>
          <w:lang w:val="en-GB"/>
        </w:rPr>
        <w:br w:type="page"/>
      </w:r>
    </w:p>
    <w:p w14:paraId="4831A1C8" w14:textId="77777777" w:rsidR="00143B49" w:rsidRDefault="00143B49">
      <w:pPr>
        <w:rPr>
          <w:b/>
          <w:highlight w:val="yellow"/>
          <w:lang w:val="en-GB"/>
        </w:rPr>
      </w:pPr>
    </w:p>
    <w:p w14:paraId="0075E1E2" w14:textId="77777777" w:rsidR="00976A9E" w:rsidRDefault="008C6B93">
      <w:pPr>
        <w:rPr>
          <w:b/>
          <w:lang w:val="en-GB"/>
        </w:rPr>
      </w:pPr>
      <w:r w:rsidRPr="00864C5B">
        <w:rPr>
          <w:b/>
          <w:lang w:val="en-GB"/>
        </w:rPr>
        <w:t>SF</w:t>
      </w:r>
      <w:r w:rsidR="00014F08" w:rsidRPr="00864C5B">
        <w:rPr>
          <w:b/>
          <w:lang w:val="en-GB"/>
        </w:rPr>
        <w:t>T – TABLE 3</w:t>
      </w:r>
    </w:p>
    <w:p w14:paraId="164596B8" w14:textId="77777777" w:rsidR="008C6456" w:rsidRDefault="008C6456">
      <w:pPr>
        <w:rPr>
          <w:b/>
          <w:lang w:val="en-GB"/>
        </w:rPr>
      </w:pPr>
    </w:p>
    <w:p w14:paraId="5F02A53C" w14:textId="52B7C4FD" w:rsidR="008C6456" w:rsidRPr="00F842B7" w:rsidRDefault="008C6456" w:rsidP="008C6456">
      <w:pPr>
        <w:rPr>
          <w:lang w:val="en-GB"/>
        </w:rPr>
      </w:pPr>
      <w:r w:rsidRPr="00F842B7">
        <w:rPr>
          <w:lang w:val="en-GB"/>
        </w:rPr>
        <w:t>Since for SFT transactions the choice of the execution venue is reduced due to the terms that are bilaterally agreed in advance and given that their large size would likely distort the more representative set of client transactions (namely, those not involving SFTs), it is</w:t>
      </w:r>
      <w:r w:rsidR="00F842B7" w:rsidRPr="00F842B7">
        <w:rPr>
          <w:lang w:val="en-GB"/>
        </w:rPr>
        <w:t xml:space="preserve"> </w:t>
      </w:r>
      <w:r w:rsidRPr="00F842B7">
        <w:rPr>
          <w:lang w:val="en-GB"/>
        </w:rPr>
        <w:t>necessary to exclude them from the tables concerning the top five execution</w:t>
      </w:r>
      <w:r w:rsidR="00F842B7" w:rsidRPr="00F842B7">
        <w:rPr>
          <w:lang w:val="en-GB"/>
        </w:rPr>
        <w:t xml:space="preserve"> </w:t>
      </w:r>
      <w:r w:rsidRPr="00F842B7">
        <w:rPr>
          <w:lang w:val="en-GB"/>
        </w:rPr>
        <w:t>venues on which investment firms execute other client orders.</w:t>
      </w:r>
    </w:p>
    <w:p w14:paraId="4C2BBE98" w14:textId="77777777" w:rsidR="008C6456" w:rsidRPr="008C6456" w:rsidRDefault="008C6456" w:rsidP="008C6456">
      <w:pPr>
        <w:rPr>
          <w:b/>
          <w:lang w:val="en-GB"/>
        </w:rPr>
      </w:pPr>
    </w:p>
    <w:p w14:paraId="45673913" w14:textId="77777777" w:rsidR="00143B49" w:rsidRDefault="00143B49">
      <w:pPr>
        <w:rPr>
          <w:b/>
          <w:lang w:val="en-GB"/>
        </w:rPr>
      </w:pPr>
    </w:p>
    <w:tbl>
      <w:tblPr>
        <w:tblStyle w:val="TableGrid"/>
        <w:tblW w:w="0" w:type="auto"/>
        <w:tblLook w:val="04A0" w:firstRow="1" w:lastRow="0" w:firstColumn="1" w:lastColumn="0" w:noHBand="0" w:noVBand="1"/>
      </w:tblPr>
      <w:tblGrid>
        <w:gridCol w:w="2010"/>
        <w:gridCol w:w="5000"/>
        <w:gridCol w:w="2340"/>
      </w:tblGrid>
      <w:tr w:rsidR="00143B49" w:rsidRPr="00143B49" w14:paraId="69BB4682" w14:textId="77777777" w:rsidTr="00143B49">
        <w:trPr>
          <w:trHeight w:val="260"/>
        </w:trPr>
        <w:tc>
          <w:tcPr>
            <w:tcW w:w="2280" w:type="dxa"/>
            <w:noWrap/>
            <w:hideMark/>
          </w:tcPr>
          <w:p w14:paraId="24055A8F" w14:textId="77777777" w:rsidR="00143B49" w:rsidRPr="00995AAB" w:rsidRDefault="00143B49">
            <w:r w:rsidRPr="00995AAB">
              <w:t>Class of Instrument</w:t>
            </w:r>
          </w:p>
        </w:tc>
        <w:tc>
          <w:tcPr>
            <w:tcW w:w="8380" w:type="dxa"/>
            <w:gridSpan w:val="2"/>
            <w:noWrap/>
            <w:hideMark/>
          </w:tcPr>
          <w:p w14:paraId="7C6FD7EB" w14:textId="77777777" w:rsidR="00143B49" w:rsidRPr="00995AAB" w:rsidRDefault="00143B49" w:rsidP="00143B49">
            <w:r w:rsidRPr="00995AAB">
              <w:t> </w:t>
            </w:r>
          </w:p>
        </w:tc>
      </w:tr>
      <w:tr w:rsidR="00143B49" w:rsidRPr="00143B49" w14:paraId="7C10139B" w14:textId="77777777" w:rsidTr="00143B49">
        <w:trPr>
          <w:trHeight w:val="885"/>
        </w:trPr>
        <w:tc>
          <w:tcPr>
            <w:tcW w:w="2280" w:type="dxa"/>
            <w:hideMark/>
          </w:tcPr>
          <w:p w14:paraId="508CD80B" w14:textId="77777777" w:rsidR="00143B49" w:rsidRPr="00995AAB" w:rsidRDefault="00143B49">
            <w:r w:rsidRPr="00995AAB">
              <w:t>Notification if &lt;1 average trade per business day in the previous year</w:t>
            </w:r>
          </w:p>
        </w:tc>
        <w:tc>
          <w:tcPr>
            <w:tcW w:w="8380" w:type="dxa"/>
            <w:gridSpan w:val="2"/>
            <w:noWrap/>
            <w:hideMark/>
          </w:tcPr>
          <w:p w14:paraId="464910A3" w14:textId="77777777" w:rsidR="00143B49" w:rsidRPr="00995AAB" w:rsidRDefault="00143B49" w:rsidP="00143B49">
            <w:pPr>
              <w:rPr>
                <w:bCs/>
              </w:rPr>
            </w:pPr>
            <w:r w:rsidRPr="00995AAB">
              <w:rPr>
                <w:bCs/>
              </w:rPr>
              <w:t>Yes/No</w:t>
            </w:r>
          </w:p>
        </w:tc>
      </w:tr>
      <w:tr w:rsidR="00143B49" w:rsidRPr="00143B49" w14:paraId="6A971027" w14:textId="77777777" w:rsidTr="00143B49">
        <w:trPr>
          <w:trHeight w:val="735"/>
        </w:trPr>
        <w:tc>
          <w:tcPr>
            <w:tcW w:w="2280" w:type="dxa"/>
            <w:hideMark/>
          </w:tcPr>
          <w:p w14:paraId="0FCD0BB6" w14:textId="77777777" w:rsidR="00143B49" w:rsidRPr="00995AAB" w:rsidRDefault="00143B49">
            <w:r w:rsidRPr="00995AAB">
              <w:t xml:space="preserve"> Top five execution venues ranked in terms of volumes (descending order) </w:t>
            </w:r>
          </w:p>
        </w:tc>
        <w:tc>
          <w:tcPr>
            <w:tcW w:w="5720" w:type="dxa"/>
            <w:hideMark/>
          </w:tcPr>
          <w:p w14:paraId="4846F5E5" w14:textId="77777777" w:rsidR="00143B49" w:rsidRPr="00995AAB" w:rsidRDefault="00143B49">
            <w:r w:rsidRPr="00995AAB">
              <w:t xml:space="preserve">Proportion of volume traded as a percentage of total in that class </w:t>
            </w:r>
          </w:p>
        </w:tc>
        <w:tc>
          <w:tcPr>
            <w:tcW w:w="2660" w:type="dxa"/>
            <w:hideMark/>
          </w:tcPr>
          <w:p w14:paraId="6554358B" w14:textId="77777777" w:rsidR="00143B49" w:rsidRPr="00995AAB" w:rsidRDefault="00143B49">
            <w:r w:rsidRPr="00995AAB">
              <w:t>Proportion of orders executed as percentage of total in that class</w:t>
            </w:r>
          </w:p>
        </w:tc>
      </w:tr>
      <w:tr w:rsidR="00143B49" w:rsidRPr="00143B49" w14:paraId="5CC9C987" w14:textId="77777777" w:rsidTr="00143B49">
        <w:trPr>
          <w:trHeight w:val="520"/>
        </w:trPr>
        <w:tc>
          <w:tcPr>
            <w:tcW w:w="2280" w:type="dxa"/>
            <w:hideMark/>
          </w:tcPr>
          <w:p w14:paraId="40538F45" w14:textId="77777777" w:rsidR="00143B49" w:rsidRPr="00995AAB" w:rsidRDefault="00143B49">
            <w:r w:rsidRPr="00995AAB">
              <w:t>Name and Venue Identifier (MIC or LEI)</w:t>
            </w:r>
          </w:p>
        </w:tc>
        <w:tc>
          <w:tcPr>
            <w:tcW w:w="5720" w:type="dxa"/>
            <w:noWrap/>
            <w:hideMark/>
          </w:tcPr>
          <w:p w14:paraId="60AC2182" w14:textId="77777777" w:rsidR="00143B49" w:rsidRPr="00995AAB" w:rsidRDefault="00143B49">
            <w:r w:rsidRPr="00995AAB">
              <w:t> </w:t>
            </w:r>
          </w:p>
        </w:tc>
        <w:tc>
          <w:tcPr>
            <w:tcW w:w="2660" w:type="dxa"/>
            <w:noWrap/>
            <w:hideMark/>
          </w:tcPr>
          <w:p w14:paraId="468E5117" w14:textId="77777777" w:rsidR="00143B49" w:rsidRPr="00995AAB" w:rsidRDefault="00143B49">
            <w:r w:rsidRPr="00995AAB">
              <w:t> </w:t>
            </w:r>
          </w:p>
        </w:tc>
      </w:tr>
      <w:tr w:rsidR="00143B49" w:rsidRPr="00143B49" w14:paraId="1EBF04F6" w14:textId="77777777" w:rsidTr="00143B49">
        <w:trPr>
          <w:trHeight w:val="520"/>
        </w:trPr>
        <w:tc>
          <w:tcPr>
            <w:tcW w:w="2280" w:type="dxa"/>
            <w:hideMark/>
          </w:tcPr>
          <w:p w14:paraId="444528A5" w14:textId="77777777" w:rsidR="00143B49" w:rsidRPr="00995AAB" w:rsidRDefault="00143B49">
            <w:r w:rsidRPr="00995AAB">
              <w:t>Name and Venue identifier (MIC or LEI)</w:t>
            </w:r>
          </w:p>
        </w:tc>
        <w:tc>
          <w:tcPr>
            <w:tcW w:w="5720" w:type="dxa"/>
            <w:noWrap/>
            <w:hideMark/>
          </w:tcPr>
          <w:p w14:paraId="2C350B4C" w14:textId="77777777" w:rsidR="00143B49" w:rsidRPr="00995AAB" w:rsidRDefault="00143B49">
            <w:r w:rsidRPr="00995AAB">
              <w:t> </w:t>
            </w:r>
          </w:p>
        </w:tc>
        <w:tc>
          <w:tcPr>
            <w:tcW w:w="2660" w:type="dxa"/>
            <w:noWrap/>
            <w:hideMark/>
          </w:tcPr>
          <w:p w14:paraId="09FF35C9" w14:textId="77777777" w:rsidR="00143B49" w:rsidRPr="00995AAB" w:rsidRDefault="00143B49">
            <w:r w:rsidRPr="00995AAB">
              <w:t> </w:t>
            </w:r>
          </w:p>
        </w:tc>
      </w:tr>
      <w:tr w:rsidR="00143B49" w:rsidRPr="00143B49" w14:paraId="2CA81CCD" w14:textId="77777777" w:rsidTr="00143B49">
        <w:trPr>
          <w:trHeight w:val="520"/>
        </w:trPr>
        <w:tc>
          <w:tcPr>
            <w:tcW w:w="2280" w:type="dxa"/>
            <w:hideMark/>
          </w:tcPr>
          <w:p w14:paraId="212E19E6" w14:textId="77777777" w:rsidR="00143B49" w:rsidRPr="00995AAB" w:rsidRDefault="00143B49">
            <w:r w:rsidRPr="00995AAB">
              <w:t>Name and venue identifier (MIC or LEI)</w:t>
            </w:r>
          </w:p>
        </w:tc>
        <w:tc>
          <w:tcPr>
            <w:tcW w:w="5720" w:type="dxa"/>
            <w:noWrap/>
            <w:hideMark/>
          </w:tcPr>
          <w:p w14:paraId="00A45FCE" w14:textId="77777777" w:rsidR="00143B49" w:rsidRPr="00995AAB" w:rsidRDefault="00143B49">
            <w:r w:rsidRPr="00995AAB">
              <w:t> </w:t>
            </w:r>
          </w:p>
        </w:tc>
        <w:tc>
          <w:tcPr>
            <w:tcW w:w="2660" w:type="dxa"/>
            <w:noWrap/>
            <w:hideMark/>
          </w:tcPr>
          <w:p w14:paraId="3CFC0DBF" w14:textId="77777777" w:rsidR="00143B49" w:rsidRPr="00995AAB" w:rsidRDefault="00143B49">
            <w:r w:rsidRPr="00995AAB">
              <w:t> </w:t>
            </w:r>
          </w:p>
        </w:tc>
      </w:tr>
      <w:tr w:rsidR="00143B49" w:rsidRPr="00143B49" w14:paraId="2705F99E" w14:textId="77777777" w:rsidTr="00143B49">
        <w:trPr>
          <w:trHeight w:val="520"/>
        </w:trPr>
        <w:tc>
          <w:tcPr>
            <w:tcW w:w="2280" w:type="dxa"/>
            <w:hideMark/>
          </w:tcPr>
          <w:p w14:paraId="48659D31" w14:textId="77777777" w:rsidR="00143B49" w:rsidRPr="00995AAB" w:rsidRDefault="00143B49">
            <w:r w:rsidRPr="00995AAB">
              <w:t>Name and venue identifier (MIC or LEI)</w:t>
            </w:r>
          </w:p>
        </w:tc>
        <w:tc>
          <w:tcPr>
            <w:tcW w:w="5720" w:type="dxa"/>
            <w:noWrap/>
            <w:hideMark/>
          </w:tcPr>
          <w:p w14:paraId="7D4C4DE5" w14:textId="77777777" w:rsidR="00143B49" w:rsidRPr="00995AAB" w:rsidRDefault="00143B49">
            <w:r w:rsidRPr="00995AAB">
              <w:t> </w:t>
            </w:r>
          </w:p>
        </w:tc>
        <w:tc>
          <w:tcPr>
            <w:tcW w:w="2660" w:type="dxa"/>
            <w:noWrap/>
            <w:hideMark/>
          </w:tcPr>
          <w:p w14:paraId="73553603" w14:textId="77777777" w:rsidR="00143B49" w:rsidRPr="00995AAB" w:rsidRDefault="00143B49">
            <w:r w:rsidRPr="00995AAB">
              <w:t> </w:t>
            </w:r>
          </w:p>
        </w:tc>
      </w:tr>
      <w:tr w:rsidR="00143B49" w:rsidRPr="00143B49" w14:paraId="18E01188" w14:textId="77777777" w:rsidTr="00143B49">
        <w:trPr>
          <w:trHeight w:val="520"/>
        </w:trPr>
        <w:tc>
          <w:tcPr>
            <w:tcW w:w="2280" w:type="dxa"/>
            <w:hideMark/>
          </w:tcPr>
          <w:p w14:paraId="2B45E4DD" w14:textId="77777777" w:rsidR="00143B49" w:rsidRPr="00995AAB" w:rsidRDefault="00143B49">
            <w:r w:rsidRPr="00995AAB">
              <w:t>Name and venue identifier (MIC or LEI)</w:t>
            </w:r>
          </w:p>
        </w:tc>
        <w:tc>
          <w:tcPr>
            <w:tcW w:w="5720" w:type="dxa"/>
            <w:noWrap/>
            <w:hideMark/>
          </w:tcPr>
          <w:p w14:paraId="3369AA2F" w14:textId="77777777" w:rsidR="00143B49" w:rsidRPr="00995AAB" w:rsidRDefault="00143B49">
            <w:r w:rsidRPr="00995AAB">
              <w:t> </w:t>
            </w:r>
          </w:p>
        </w:tc>
        <w:tc>
          <w:tcPr>
            <w:tcW w:w="2660" w:type="dxa"/>
            <w:noWrap/>
            <w:hideMark/>
          </w:tcPr>
          <w:p w14:paraId="77B293E1" w14:textId="77777777" w:rsidR="00143B49" w:rsidRPr="00995AAB" w:rsidRDefault="00143B49">
            <w:r w:rsidRPr="00995AAB">
              <w:t> </w:t>
            </w:r>
          </w:p>
        </w:tc>
      </w:tr>
    </w:tbl>
    <w:p w14:paraId="670D4C5F" w14:textId="77777777" w:rsidR="00143B49" w:rsidRPr="00995AAB" w:rsidRDefault="00143B49">
      <w:pPr>
        <w:rPr>
          <w:b/>
          <w:lang w:val="en-GB"/>
        </w:rPr>
      </w:pPr>
    </w:p>
    <w:sectPr w:rsidR="00143B49" w:rsidRPr="00995AAB" w:rsidSect="004F62BB">
      <w:headerReference w:type="default" r:id="rId33"/>
      <w:footerReference w:type="default" r:id="rId34"/>
      <w:pgSz w:w="12240" w:h="15840" w:code="1"/>
      <w:pgMar w:top="720" w:right="1440" w:bottom="12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9C8F10" w14:textId="77777777" w:rsidR="00417A29" w:rsidRDefault="00417A29">
      <w:r>
        <w:separator/>
      </w:r>
    </w:p>
  </w:endnote>
  <w:endnote w:type="continuationSeparator" w:id="0">
    <w:p w14:paraId="36BD1708" w14:textId="77777777" w:rsidR="00417A29" w:rsidRDefault="00417A29">
      <w:r>
        <w:continuationSeparator/>
      </w:r>
    </w:p>
  </w:endnote>
  <w:endnote w:type="continuationNotice" w:id="1">
    <w:p w14:paraId="4380906B" w14:textId="77777777" w:rsidR="00417A29" w:rsidRDefault="00417A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PMingLiU">
    <w:altName w:val="Malgun Gothic Semilight"/>
    <w:panose1 w:val="02020500000000000000"/>
    <w:charset w:val="88"/>
    <w:family w:val="auto"/>
    <w:pitch w:val="variable"/>
    <w:sig w:usb0="A00002FF" w:usb1="28CFFCFA" w:usb2="00000016" w:usb3="00000000" w:csb0="00100001" w:csb1="00000000"/>
  </w:font>
  <w:font w:name="Times">
    <w:panose1 w:val="02020603050405020304"/>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28FC6" w14:textId="77777777" w:rsidR="000F58B9" w:rsidRPr="005D628B" w:rsidRDefault="000F58B9" w:rsidP="000A2D5C">
    <w:pPr>
      <w:pStyle w:val="Footer"/>
      <w:pBdr>
        <w:top w:val="single" w:sz="4" w:space="1" w:color="auto"/>
      </w:pBdr>
      <w:tabs>
        <w:tab w:val="clear" w:pos="8640"/>
        <w:tab w:val="right" w:pos="9360"/>
      </w:tabs>
      <w:rPr>
        <w:b/>
      </w:rPr>
    </w:pPr>
    <w:r>
      <w:rPr>
        <w:b/>
      </w:rPr>
      <w:t>For Global Technical Committee Governance Internal Use Only</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0"/>
      <w:gridCol w:w="2340"/>
      <w:gridCol w:w="1890"/>
      <w:gridCol w:w="2790"/>
    </w:tblGrid>
    <w:tr w:rsidR="000F58B9" w14:paraId="7968CC10" w14:textId="77777777" w:rsidTr="00845431">
      <w:tc>
        <w:tcPr>
          <w:tcW w:w="2340" w:type="dxa"/>
        </w:tcPr>
        <w:p w14:paraId="5F326596" w14:textId="77777777" w:rsidR="000F58B9" w:rsidRDefault="000F58B9" w:rsidP="00845431">
          <w:pPr>
            <w:pStyle w:val="Footer"/>
            <w:tabs>
              <w:tab w:val="clear" w:pos="8640"/>
              <w:tab w:val="right" w:pos="9360"/>
            </w:tabs>
            <w:jc w:val="right"/>
          </w:pPr>
          <w:r>
            <w:t>Submission Date</w:t>
          </w:r>
        </w:p>
      </w:tc>
      <w:tc>
        <w:tcPr>
          <w:tcW w:w="2340" w:type="dxa"/>
        </w:tcPr>
        <w:p w14:paraId="2B701059" w14:textId="77777777" w:rsidR="000F58B9" w:rsidRDefault="000F58B9" w:rsidP="00845431">
          <w:pPr>
            <w:pStyle w:val="Footer"/>
            <w:tabs>
              <w:tab w:val="clear" w:pos="8640"/>
              <w:tab w:val="right" w:pos="9360"/>
            </w:tabs>
          </w:pPr>
        </w:p>
      </w:tc>
      <w:tc>
        <w:tcPr>
          <w:tcW w:w="1890" w:type="dxa"/>
        </w:tcPr>
        <w:p w14:paraId="052FEC8B" w14:textId="77777777" w:rsidR="000F58B9" w:rsidRDefault="000F58B9" w:rsidP="00845431">
          <w:pPr>
            <w:pStyle w:val="Footer"/>
            <w:tabs>
              <w:tab w:val="clear" w:pos="4320"/>
              <w:tab w:val="clear" w:pos="8640"/>
              <w:tab w:val="right" w:pos="9360"/>
            </w:tabs>
            <w:jc w:val="right"/>
          </w:pPr>
          <w:r>
            <w:t>Control Number</w:t>
          </w:r>
        </w:p>
      </w:tc>
      <w:tc>
        <w:tcPr>
          <w:tcW w:w="2790" w:type="dxa"/>
        </w:tcPr>
        <w:p w14:paraId="1A924B8B" w14:textId="77777777" w:rsidR="000F58B9" w:rsidRDefault="000F58B9" w:rsidP="00845431">
          <w:pPr>
            <w:pStyle w:val="Footer"/>
            <w:tabs>
              <w:tab w:val="clear" w:pos="4320"/>
              <w:tab w:val="clear" w:pos="8640"/>
              <w:tab w:val="center" w:pos="-11268"/>
              <w:tab w:val="right" w:pos="9360"/>
            </w:tabs>
          </w:pPr>
        </w:p>
      </w:tc>
    </w:tr>
    <w:tr w:rsidR="000F58B9" w14:paraId="6D7B6B91" w14:textId="77777777" w:rsidTr="00845431">
      <w:tc>
        <w:tcPr>
          <w:tcW w:w="2340" w:type="dxa"/>
        </w:tcPr>
        <w:p w14:paraId="44698756" w14:textId="77777777" w:rsidR="000F58B9" w:rsidRDefault="000F58B9" w:rsidP="00845431">
          <w:pPr>
            <w:pStyle w:val="Footer"/>
            <w:tabs>
              <w:tab w:val="clear" w:pos="8640"/>
              <w:tab w:val="right" w:pos="9360"/>
            </w:tabs>
            <w:jc w:val="right"/>
          </w:pPr>
          <w:r>
            <w:t>Submission Status</w:t>
          </w:r>
        </w:p>
      </w:tc>
      <w:tc>
        <w:tcPr>
          <w:tcW w:w="2340" w:type="dxa"/>
        </w:tcPr>
        <w:p w14:paraId="1F79BC18" w14:textId="77777777" w:rsidR="000F58B9" w:rsidRDefault="000F58B9" w:rsidP="00845431">
          <w:pPr>
            <w:pStyle w:val="Footer"/>
            <w:tabs>
              <w:tab w:val="clear" w:pos="8640"/>
              <w:tab w:val="right" w:pos="9360"/>
            </w:tabs>
          </w:pPr>
        </w:p>
      </w:tc>
      <w:tc>
        <w:tcPr>
          <w:tcW w:w="1890" w:type="dxa"/>
        </w:tcPr>
        <w:p w14:paraId="1C31B3FF" w14:textId="77777777" w:rsidR="000F58B9" w:rsidRDefault="000F58B9" w:rsidP="00845431">
          <w:pPr>
            <w:pStyle w:val="Footer"/>
            <w:tabs>
              <w:tab w:val="clear" w:pos="8640"/>
              <w:tab w:val="right" w:pos="9360"/>
            </w:tabs>
            <w:jc w:val="right"/>
          </w:pPr>
          <w:r>
            <w:t>Ratified Date</w:t>
          </w:r>
        </w:p>
      </w:tc>
      <w:tc>
        <w:tcPr>
          <w:tcW w:w="2790" w:type="dxa"/>
        </w:tcPr>
        <w:p w14:paraId="39D2F7DB" w14:textId="77777777" w:rsidR="000F58B9" w:rsidRDefault="000F58B9" w:rsidP="00845431">
          <w:pPr>
            <w:pStyle w:val="Footer"/>
            <w:tabs>
              <w:tab w:val="clear" w:pos="8640"/>
              <w:tab w:val="right" w:pos="9360"/>
            </w:tabs>
          </w:pPr>
        </w:p>
      </w:tc>
    </w:tr>
    <w:tr w:rsidR="000F58B9" w14:paraId="5DFD0241" w14:textId="77777777" w:rsidTr="00845431">
      <w:tc>
        <w:tcPr>
          <w:tcW w:w="2340" w:type="dxa"/>
        </w:tcPr>
        <w:p w14:paraId="32DA7FCE" w14:textId="77777777" w:rsidR="000F58B9" w:rsidRDefault="000F58B9" w:rsidP="00845431">
          <w:pPr>
            <w:pStyle w:val="Footer"/>
            <w:tabs>
              <w:tab w:val="clear" w:pos="8640"/>
              <w:tab w:val="right" w:pos="9360"/>
            </w:tabs>
            <w:jc w:val="right"/>
          </w:pPr>
          <w:r>
            <w:t>Primary Contact Person</w:t>
          </w:r>
        </w:p>
      </w:tc>
      <w:tc>
        <w:tcPr>
          <w:tcW w:w="2340" w:type="dxa"/>
        </w:tcPr>
        <w:p w14:paraId="0365CB7F" w14:textId="77777777" w:rsidR="000F58B9" w:rsidRDefault="000F58B9" w:rsidP="00845431">
          <w:pPr>
            <w:pStyle w:val="Footer"/>
            <w:tabs>
              <w:tab w:val="clear" w:pos="8640"/>
              <w:tab w:val="right" w:pos="9360"/>
            </w:tabs>
          </w:pPr>
        </w:p>
      </w:tc>
      <w:tc>
        <w:tcPr>
          <w:tcW w:w="1890" w:type="dxa"/>
        </w:tcPr>
        <w:p w14:paraId="733C6973" w14:textId="77777777" w:rsidR="000F58B9" w:rsidRDefault="000F58B9" w:rsidP="00845431">
          <w:pPr>
            <w:pStyle w:val="Footer"/>
            <w:tabs>
              <w:tab w:val="clear" w:pos="8640"/>
              <w:tab w:val="right" w:pos="9360"/>
            </w:tabs>
            <w:jc w:val="right"/>
          </w:pPr>
          <w:r>
            <w:t>Release Identifier</w:t>
          </w:r>
        </w:p>
      </w:tc>
      <w:tc>
        <w:tcPr>
          <w:tcW w:w="2790" w:type="dxa"/>
        </w:tcPr>
        <w:p w14:paraId="6FA66852" w14:textId="77777777" w:rsidR="000F58B9" w:rsidRDefault="000F58B9" w:rsidP="00845431">
          <w:pPr>
            <w:pStyle w:val="Footer"/>
            <w:tabs>
              <w:tab w:val="clear" w:pos="8640"/>
              <w:tab w:val="right" w:pos="9360"/>
            </w:tabs>
          </w:pPr>
        </w:p>
      </w:tc>
    </w:tr>
  </w:tbl>
  <w:p w14:paraId="4E4C6A2E" w14:textId="77777777" w:rsidR="000F58B9" w:rsidRDefault="000F58B9" w:rsidP="008F72BB">
    <w:pPr>
      <w:pStyle w:val="Footer"/>
      <w:tabs>
        <w:tab w:val="clear" w:pos="8640"/>
        <w:tab w:val="right" w:pos="9360"/>
      </w:tabs>
    </w:pPr>
  </w:p>
  <w:p w14:paraId="64923622" w14:textId="23965A96" w:rsidR="000F58B9" w:rsidRDefault="000F58B9" w:rsidP="005D628B">
    <w:pPr>
      <w:pStyle w:val="Footer"/>
      <w:tabs>
        <w:tab w:val="clear" w:pos="8640"/>
        <w:tab w:val="right" w:pos="9360"/>
      </w:tabs>
    </w:pPr>
    <w:r>
      <w:sym w:font="Symbol" w:char="F0D3"/>
    </w:r>
    <w:r>
      <w:t xml:space="preserve"> Copyright, 2017, FIX Protocol, Limited</w:t>
    </w:r>
  </w:p>
  <w:p w14:paraId="5833A4DF" w14:textId="77777777" w:rsidR="000F58B9" w:rsidRPr="00DD44E0" w:rsidRDefault="000F58B9" w:rsidP="005D628B">
    <w:pPr>
      <w:pStyle w:val="Footer"/>
      <w:tabs>
        <w:tab w:val="clear" w:pos="8640"/>
        <w:tab w:val="right" w:pos="9360"/>
      </w:tabs>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108F33" w14:textId="77777777" w:rsidR="000F58B9" w:rsidRDefault="000F58B9" w:rsidP="000A2D5C">
    <w:pPr>
      <w:pStyle w:val="Footer"/>
      <w:tabs>
        <w:tab w:val="clear" w:pos="8640"/>
        <w:tab w:val="right" w:pos="9360"/>
      </w:tabs>
    </w:pPr>
    <w:r>
      <w:sym w:font="Symbol" w:char="F0D3"/>
    </w:r>
    <w:r>
      <w:t xml:space="preserve"> Copyright, 2014, FIX Protocol, Limited</w:t>
    </w:r>
  </w:p>
  <w:p w14:paraId="3C528B71" w14:textId="77777777" w:rsidR="000F58B9" w:rsidRDefault="000F58B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7B02E" w14:textId="77777777" w:rsidR="000F58B9" w:rsidRDefault="000F58B9" w:rsidP="008F72BB">
    <w:pPr>
      <w:pStyle w:val="Footer"/>
      <w:tabs>
        <w:tab w:val="clear" w:pos="8640"/>
        <w:tab w:val="right" w:pos="9360"/>
      </w:tabs>
    </w:pPr>
  </w:p>
  <w:p w14:paraId="03FE8D5C" w14:textId="77777777" w:rsidR="000F58B9" w:rsidRPr="00DD44E0" w:rsidRDefault="000F58B9" w:rsidP="005D628B">
    <w:pPr>
      <w:pStyle w:val="Footer"/>
      <w:tabs>
        <w:tab w:val="clear" w:pos="8640"/>
        <w:tab w:val="right" w:pos="9360"/>
      </w:tabs>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88CE2F" w14:textId="77777777" w:rsidR="00417A29" w:rsidRDefault="00417A29">
      <w:r>
        <w:separator/>
      </w:r>
    </w:p>
  </w:footnote>
  <w:footnote w:type="continuationSeparator" w:id="0">
    <w:p w14:paraId="64D56843" w14:textId="77777777" w:rsidR="00417A29" w:rsidRDefault="00417A29">
      <w:r>
        <w:continuationSeparator/>
      </w:r>
    </w:p>
  </w:footnote>
  <w:footnote w:type="continuationNotice" w:id="1">
    <w:p w14:paraId="2D7B8561" w14:textId="77777777" w:rsidR="00417A29" w:rsidRDefault="00417A29"/>
  </w:footnote>
  <w:footnote w:id="2">
    <w:p w14:paraId="3346DA59" w14:textId="0BCCBD2C" w:rsidR="000F58B9" w:rsidRPr="00D15FE7" w:rsidRDefault="000F58B9" w:rsidP="00D15FE7">
      <w:pPr>
        <w:pStyle w:val="Default"/>
        <w:rPr>
          <w:rFonts w:ascii="Arial" w:hAnsi="Arial" w:cs="Arial"/>
          <w:sz w:val="16"/>
          <w:szCs w:val="16"/>
        </w:rPr>
      </w:pPr>
      <w:r>
        <w:rPr>
          <w:rStyle w:val="FootnoteReference"/>
        </w:rPr>
        <w:footnoteRef/>
      </w:r>
      <w:r>
        <w:t xml:space="preserve"> </w:t>
      </w:r>
      <w:r w:rsidRPr="00D15FE7">
        <w:rPr>
          <w:rFonts w:ascii="Arial" w:hAnsi="Arial" w:cs="Arial"/>
          <w:b/>
          <w:bCs/>
          <w:sz w:val="16"/>
          <w:szCs w:val="16"/>
        </w:rPr>
        <w:t xml:space="preserve">ESMA Q&amp;A investor protection Question 9 [Last update: </w:t>
      </w:r>
      <w:r>
        <w:rPr>
          <w:rFonts w:ascii="Arial" w:hAnsi="Arial" w:cs="Arial"/>
          <w:b/>
          <w:bCs/>
          <w:sz w:val="16"/>
          <w:szCs w:val="16"/>
        </w:rPr>
        <w:t>10 July 2017</w:t>
      </w:r>
      <w:r w:rsidRPr="00D15FE7">
        <w:rPr>
          <w:rFonts w:ascii="Arial" w:hAnsi="Arial" w:cs="Arial"/>
          <w:b/>
          <w:bCs/>
          <w:sz w:val="16"/>
          <w:szCs w:val="16"/>
        </w:rPr>
        <w:t xml:space="preserve"> </w:t>
      </w:r>
    </w:p>
    <w:p w14:paraId="403351FD" w14:textId="77777777" w:rsidR="000F58B9" w:rsidRPr="00D15FE7" w:rsidRDefault="000F58B9" w:rsidP="00D15FE7">
      <w:pPr>
        <w:autoSpaceDE w:val="0"/>
        <w:autoSpaceDN w:val="0"/>
        <w:adjustRightInd w:val="0"/>
        <w:rPr>
          <w:rFonts w:cs="Arial"/>
          <w:color w:val="000000"/>
          <w:sz w:val="16"/>
          <w:szCs w:val="16"/>
          <w:lang w:val="en-GB"/>
        </w:rPr>
      </w:pPr>
      <w:r w:rsidRPr="00D15FE7">
        <w:rPr>
          <w:rFonts w:cs="Arial"/>
          <w:i/>
          <w:iCs/>
          <w:color w:val="000000"/>
          <w:sz w:val="16"/>
          <w:szCs w:val="16"/>
          <w:lang w:val="en-GB"/>
        </w:rPr>
        <w:t xml:space="preserve">Where RTS 27 (Article 5) requires a venue to disclose costs, can this report be aggregated and presented as venue-level information? </w:t>
      </w:r>
    </w:p>
    <w:p w14:paraId="0BDD1F98" w14:textId="77777777" w:rsidR="000F58B9" w:rsidRPr="00D15FE7" w:rsidRDefault="000F58B9" w:rsidP="00D15FE7">
      <w:pPr>
        <w:autoSpaceDE w:val="0"/>
        <w:autoSpaceDN w:val="0"/>
        <w:adjustRightInd w:val="0"/>
        <w:rPr>
          <w:rFonts w:cs="Arial"/>
          <w:color w:val="000000"/>
          <w:sz w:val="16"/>
          <w:szCs w:val="16"/>
          <w:lang w:val="en-GB"/>
        </w:rPr>
      </w:pPr>
      <w:r w:rsidRPr="00D15FE7">
        <w:rPr>
          <w:rFonts w:cs="Arial"/>
          <w:b/>
          <w:bCs/>
          <w:color w:val="000000"/>
          <w:sz w:val="16"/>
          <w:szCs w:val="16"/>
          <w:lang w:val="en-GB"/>
        </w:rPr>
        <w:t xml:space="preserve">Answer 9 </w:t>
      </w:r>
    </w:p>
    <w:p w14:paraId="3D11C50A" w14:textId="77777777" w:rsidR="000F58B9" w:rsidRPr="00D15FE7" w:rsidRDefault="000F58B9" w:rsidP="00D15FE7">
      <w:pPr>
        <w:autoSpaceDE w:val="0"/>
        <w:autoSpaceDN w:val="0"/>
        <w:adjustRightInd w:val="0"/>
        <w:rPr>
          <w:rFonts w:cs="Arial"/>
          <w:color w:val="000000"/>
          <w:sz w:val="16"/>
          <w:szCs w:val="16"/>
          <w:lang w:val="en-GB"/>
        </w:rPr>
      </w:pPr>
      <w:r w:rsidRPr="00D15FE7">
        <w:rPr>
          <w:rFonts w:cs="Arial"/>
          <w:color w:val="000000"/>
          <w:sz w:val="16"/>
          <w:szCs w:val="16"/>
          <w:lang w:val="en-GB"/>
        </w:rPr>
        <w:t xml:space="preserve">Article 27(3) of MiFID II requires that execution venues (regulated markets, MTFs, OTFs, SIs, market makers and other liquidity providers) make information on the quality of execution available to the public in relation to price, costs, speed and likelihood of execution for individual financial instruments. Consequently, Article 5 of RTS 27 requires venues to publish for each financial instrument quarterly information on the costs applied by the venue to its members or users. </w:t>
      </w:r>
    </w:p>
    <w:p w14:paraId="6DC0DAA9" w14:textId="77777777" w:rsidR="000F58B9" w:rsidRPr="00D15FE7" w:rsidRDefault="000F58B9" w:rsidP="00D15FE7">
      <w:pPr>
        <w:pStyle w:val="FootnoteText"/>
        <w:rPr>
          <w:lang w:val="en-GB"/>
        </w:rPr>
      </w:pPr>
      <w:r w:rsidRPr="00D15FE7">
        <w:rPr>
          <w:rFonts w:cs="Arial"/>
          <w:sz w:val="16"/>
          <w:szCs w:val="16"/>
          <w:lang w:val="en-GB"/>
        </w:rPr>
        <w:t>It is worth clarifying that venues are expected to provide information on costs aggregated at the level of the venue and any market segment(s) they operate (e.g. standard, high growth, dark book, lit book etc.). This approach is supported by Recital 4 of RTS 27 which provides that to avoid inappropriate comparison between execution venues and to ensure the relevance of collected data, execution venues should submit separate reports corresponding to segments that operate different order books or that are regulated differently or use different market segment identifiers. In addition, it may be relevant to differentiate cost information in relation to the business model or fee structure of the venue e.g. where venues apply different fees depending on the type of client or member e.g. maker taker fee models. In this way, venues should ensure that cost information is consolidated at the appropriate level so as to facilitate comparability between other execution venues.</w:t>
      </w:r>
    </w:p>
  </w:footnote>
  <w:footnote w:id="3">
    <w:p w14:paraId="1A9170EB" w14:textId="77777777" w:rsidR="000F58B9" w:rsidRPr="00995AAB" w:rsidRDefault="000F58B9">
      <w:pPr>
        <w:pStyle w:val="FootnoteText"/>
        <w:rPr>
          <w:lang w:val="en-GB"/>
        </w:rPr>
      </w:pPr>
      <w:r w:rsidRPr="00995AAB">
        <w:rPr>
          <w:rStyle w:val="FootnoteReference"/>
          <w:sz w:val="16"/>
          <w:szCs w:val="16"/>
        </w:rPr>
        <w:footnoteRef/>
      </w:r>
      <w:r w:rsidRPr="00995AAB">
        <w:rPr>
          <w:sz w:val="16"/>
          <w:szCs w:val="16"/>
        </w:rPr>
        <w:t xml:space="preserve"> https://www.esma.europa.eu/sites/default/files/library/2015/11/2015-esma-1464_annex_i_-_draft_rts_and_its_on_mifid_ii_and_mifir.pdf</w:t>
      </w:r>
    </w:p>
  </w:footnote>
  <w:footnote w:id="4">
    <w:p w14:paraId="58A5B406" w14:textId="77777777" w:rsidR="000F58B9" w:rsidRPr="00B442F0" w:rsidRDefault="000F58B9" w:rsidP="002F6500">
      <w:pPr>
        <w:pStyle w:val="FootnoteText"/>
        <w:rPr>
          <w:lang w:val="en-GB"/>
        </w:rPr>
      </w:pPr>
      <w:r>
        <w:rPr>
          <w:rStyle w:val="FootnoteReference"/>
        </w:rPr>
        <w:footnoteRef/>
      </w:r>
      <w:r>
        <w:t xml:space="preserve"> </w:t>
      </w:r>
      <w:r w:rsidRPr="00B442F0">
        <w:rPr>
          <w:sz w:val="16"/>
          <w:szCs w:val="16"/>
        </w:rPr>
        <w:t>https://www.esma.europa.eu/press-news/esma-news/esma-publishes-new-qa-investor-protection-under-mifid-ii</w:t>
      </w:r>
    </w:p>
  </w:footnote>
  <w:footnote w:id="5">
    <w:p w14:paraId="4EB4DCD4" w14:textId="16D0F32A" w:rsidR="000F58B9" w:rsidRPr="00D23CC3" w:rsidRDefault="000F58B9">
      <w:pPr>
        <w:pStyle w:val="FootnoteText"/>
        <w:rPr>
          <w:sz w:val="16"/>
          <w:szCs w:val="16"/>
          <w:lang w:val="en-GB"/>
        </w:rPr>
      </w:pPr>
      <w:r w:rsidRPr="00D23CC3">
        <w:rPr>
          <w:rStyle w:val="FootnoteReference"/>
          <w:sz w:val="16"/>
          <w:szCs w:val="16"/>
        </w:rPr>
        <w:footnoteRef/>
      </w:r>
      <w:r w:rsidRPr="00D23CC3">
        <w:rPr>
          <w:sz w:val="16"/>
          <w:szCs w:val="16"/>
        </w:rPr>
        <w:t xml:space="preserve"> </w:t>
      </w:r>
      <w:r w:rsidRPr="00D23CC3">
        <w:rPr>
          <w:sz w:val="16"/>
          <w:szCs w:val="16"/>
          <w:lang w:val="en-GB"/>
        </w:rPr>
        <w:t>ESMA Q&amp;A Investor Protection, Q11 (10</w:t>
      </w:r>
      <w:r w:rsidRPr="00D23CC3">
        <w:rPr>
          <w:sz w:val="16"/>
          <w:szCs w:val="16"/>
          <w:vertAlign w:val="superscript"/>
          <w:lang w:val="en-GB"/>
        </w:rPr>
        <w:t>th</w:t>
      </w:r>
      <w:r w:rsidRPr="00D23CC3">
        <w:rPr>
          <w:sz w:val="16"/>
          <w:szCs w:val="16"/>
          <w:lang w:val="en-GB"/>
        </w:rPr>
        <w:t xml:space="preserve"> July 2017)</w:t>
      </w:r>
    </w:p>
  </w:footnote>
  <w:footnote w:id="6">
    <w:p w14:paraId="666A770D" w14:textId="77777777" w:rsidR="000F58B9" w:rsidRPr="00D23CC3" w:rsidRDefault="000F58B9" w:rsidP="00182C20">
      <w:pPr>
        <w:pStyle w:val="FootnoteText"/>
        <w:rPr>
          <w:sz w:val="16"/>
          <w:szCs w:val="16"/>
          <w:lang w:val="en-GB"/>
        </w:rPr>
      </w:pPr>
      <w:r w:rsidRPr="00D23CC3">
        <w:rPr>
          <w:rStyle w:val="FootnoteReference"/>
          <w:sz w:val="16"/>
          <w:szCs w:val="16"/>
        </w:rPr>
        <w:footnoteRef/>
      </w:r>
      <w:r w:rsidRPr="00D23CC3">
        <w:rPr>
          <w:sz w:val="16"/>
          <w:szCs w:val="16"/>
        </w:rPr>
        <w:t xml:space="preserve"> </w:t>
      </w:r>
      <w:r w:rsidRPr="00D23CC3">
        <w:rPr>
          <w:sz w:val="16"/>
          <w:szCs w:val="16"/>
          <w:lang w:val="en-GB"/>
        </w:rPr>
        <w:t>ESMA Q&amp;A Investor Protection, Q11 (10</w:t>
      </w:r>
      <w:r w:rsidRPr="00D23CC3">
        <w:rPr>
          <w:sz w:val="16"/>
          <w:szCs w:val="16"/>
          <w:vertAlign w:val="superscript"/>
          <w:lang w:val="en-GB"/>
        </w:rPr>
        <w:t>th</w:t>
      </w:r>
      <w:r w:rsidRPr="00D23CC3">
        <w:rPr>
          <w:sz w:val="16"/>
          <w:szCs w:val="16"/>
          <w:lang w:val="en-GB"/>
        </w:rPr>
        <w:t xml:space="preserve"> July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E2C0F6" w14:textId="77777777" w:rsidR="000F58B9" w:rsidRDefault="000F58B9" w:rsidP="004B2F6B">
    <w:pPr>
      <w:rPr>
        <w:sz w:val="40"/>
        <w:szCs w:val="40"/>
        <w:lang w:val="en-GB"/>
      </w:rPr>
    </w:pPr>
    <w:r>
      <w:fldChar w:fldCharType="begin"/>
    </w:r>
    <w:r>
      <w:instrText xml:space="preserve"> REF  DocTitle  \* MERGEFORMAT </w:instrText>
    </w:r>
    <w:r>
      <w:fldChar w:fldCharType="separate"/>
    </w:r>
    <w:r w:rsidRPr="004B2F6B">
      <w:rPr>
        <w:szCs w:val="20"/>
      </w:rPr>
      <w:t xml:space="preserve">Recommended Practices for </w:t>
    </w:r>
    <w:r w:rsidRPr="00080375">
      <w:rPr>
        <w:sz w:val="40"/>
        <w:szCs w:val="40"/>
        <w:lang w:val="en-GB"/>
      </w:rPr>
      <w:t>Best Execution Reporting as required by MiFID II RTS 27 &amp; 28</w:t>
    </w:r>
    <w:r>
      <w:rPr>
        <w:sz w:val="40"/>
        <w:szCs w:val="40"/>
        <w:lang w:val="en-GB"/>
      </w:rPr>
      <w:t xml:space="preserve"> with reference to </w:t>
    </w:r>
  </w:p>
  <w:p w14:paraId="153E1A2C" w14:textId="503F9322" w:rsidR="000F58B9" w:rsidRPr="00103231" w:rsidRDefault="000F58B9" w:rsidP="00FD256A">
    <w:pPr>
      <w:rPr>
        <w:szCs w:val="20"/>
      </w:rPr>
    </w:pPr>
    <w:r w:rsidRPr="006D77E2">
      <w:rPr>
        <w:sz w:val="40"/>
      </w:rPr>
      <w:t xml:space="preserve">Delegated Act 2398 </w:t>
    </w:r>
    <w:r>
      <w:rPr>
        <w:sz w:val="40"/>
        <w:szCs w:val="40"/>
        <w:lang w:val="en-GB"/>
      </w:rPr>
      <w:t>Article 65.6</w:t>
    </w:r>
    <w:r w:rsidRPr="00080375">
      <w:rPr>
        <w:sz w:val="40"/>
        <w:szCs w:val="40"/>
        <w:lang w:val="en-GB"/>
      </w:rPr>
      <w:t xml:space="preserve"> </w:t>
    </w:r>
    <w:r>
      <w:rPr>
        <w:sz w:val="40"/>
        <w:szCs w:val="40"/>
        <w:lang w:val="en-GB"/>
      </w:rPr>
      <w:fldChar w:fldCharType="end"/>
    </w:r>
  </w:p>
  <w:p w14:paraId="0A7ECC86" w14:textId="3C775620" w:rsidR="000F58B9" w:rsidRDefault="00417A29" w:rsidP="00FD256A">
    <w:pPr>
      <w:rPr>
        <w:szCs w:val="20"/>
      </w:rPr>
    </w:pPr>
    <w:r>
      <w:fldChar w:fldCharType="begin"/>
    </w:r>
    <w:r>
      <w:instrText xml:space="preserve"> FILENAME   \* MERGEFORMAT </w:instrText>
    </w:r>
    <w:r>
      <w:fldChar w:fldCharType="separate"/>
    </w:r>
    <w:r w:rsidR="000F58B9" w:rsidRPr="004B2F6B">
      <w:rPr>
        <w:noProof/>
        <w:szCs w:val="20"/>
      </w:rPr>
      <w:t>RecommendedPracticesBestExecutionReporting_0_30_100417</w:t>
    </w:r>
    <w:r>
      <w:rPr>
        <w:noProof/>
        <w:szCs w:val="20"/>
      </w:rPr>
      <w:fldChar w:fldCharType="end"/>
    </w:r>
  </w:p>
  <w:p w14:paraId="3D78EF8C" w14:textId="42072DEE" w:rsidR="000F58B9" w:rsidRDefault="00417A29" w:rsidP="00FD256A">
    <w:pPr>
      <w:pBdr>
        <w:bottom w:val="single" w:sz="4" w:space="1" w:color="auto"/>
      </w:pBdr>
      <w:jc w:val="right"/>
      <w:rPr>
        <w:szCs w:val="20"/>
      </w:rPr>
    </w:pPr>
    <w:r>
      <w:fldChar w:fldCharType="begin"/>
    </w:r>
    <w:r>
      <w:instrText xml:space="preserve"> REF  RevDate  \* MERGEFORMAT </w:instrText>
    </w:r>
    <w:r>
      <w:fldChar w:fldCharType="separate"/>
    </w:r>
    <w:r w:rsidR="000F58B9" w:rsidRPr="004B2F6B">
      <w:rPr>
        <w:szCs w:val="20"/>
      </w:rPr>
      <w:t>10/04/2017</w:t>
    </w:r>
    <w:r>
      <w:rPr>
        <w:szCs w:val="20"/>
      </w:rPr>
      <w:fldChar w:fldCharType="end"/>
    </w:r>
    <w:r w:rsidR="000F58B9" w:rsidRPr="00103231">
      <w:rPr>
        <w:szCs w:val="20"/>
      </w:rPr>
      <w:t xml:space="preserve"> - </w:t>
    </w:r>
    <w:r>
      <w:fldChar w:fldCharType="begin"/>
    </w:r>
    <w:r>
      <w:instrText xml:space="preserve"> REF  RevNum  \* MERGEFORMAT </w:instrText>
    </w:r>
    <w:r>
      <w:fldChar w:fldCharType="separate"/>
    </w:r>
    <w:r w:rsidR="000F58B9" w:rsidRPr="004B2F6B">
      <w:rPr>
        <w:szCs w:val="20"/>
      </w:rPr>
      <w:t xml:space="preserve"> Revision</w:t>
    </w:r>
    <w:r>
      <w:rPr>
        <w:szCs w:val="20"/>
      </w:rPr>
      <w:fldChar w:fldCharType="end"/>
    </w:r>
  </w:p>
  <w:p w14:paraId="638A908B" w14:textId="77777777" w:rsidR="000F58B9" w:rsidRDefault="000F58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8754B" w14:textId="77777777" w:rsidR="000F58B9" w:rsidRPr="004B2F6B" w:rsidRDefault="00417A29" w:rsidP="004B2F6B">
    <w:pPr>
      <w:rPr>
        <w:sz w:val="18"/>
        <w:szCs w:val="18"/>
      </w:rPr>
    </w:pPr>
    <w:sdt>
      <w:sdtPr>
        <w:rPr>
          <w:sz w:val="18"/>
          <w:szCs w:val="18"/>
        </w:rPr>
        <w:id w:val="-2026934347"/>
        <w:docPartObj>
          <w:docPartGallery w:val="Page Numbers (Margins)"/>
          <w:docPartUnique/>
        </w:docPartObj>
      </w:sdtPr>
      <w:sdtEndPr/>
      <w:sdtContent>
        <w:r w:rsidR="000F58B9">
          <w:rPr>
            <w:noProof/>
            <w:sz w:val="18"/>
            <w:szCs w:val="18"/>
          </w:rPr>
          <mc:AlternateContent>
            <mc:Choice Requires="wps">
              <w:drawing>
                <wp:anchor distT="0" distB="0" distL="114300" distR="114300" simplePos="0" relativeHeight="251659264" behindDoc="0" locked="0" layoutInCell="0" allowOverlap="1" wp14:anchorId="27AD0288" wp14:editId="7E5C5995">
                  <wp:simplePos x="0" y="0"/>
                  <wp:positionH relativeFrom="rightMargin">
                    <wp:align>right</wp:align>
                  </wp:positionH>
                  <wp:positionV relativeFrom="margin">
                    <wp:align>center</wp:align>
                  </wp:positionV>
                  <wp:extent cx="731520" cy="329565"/>
                  <wp:effectExtent l="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7F5184" w14:textId="4BFCFC4B" w:rsidR="000F58B9" w:rsidRDefault="000F58B9">
                              <w:pPr>
                                <w:pBdr>
                                  <w:bottom w:val="single" w:sz="4" w:space="1" w:color="auto"/>
                                </w:pBdr>
                              </w:pPr>
                              <w:r>
                                <w:fldChar w:fldCharType="begin"/>
                              </w:r>
                              <w:r>
                                <w:instrText xml:space="preserve"> PAGE   \* MERGEFORMAT </w:instrText>
                              </w:r>
                              <w:r>
                                <w:fldChar w:fldCharType="separate"/>
                              </w:r>
                              <w:r w:rsidR="007D30E4">
                                <w:rPr>
                                  <w:noProof/>
                                </w:rPr>
                                <w:t>16</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27AD0288" id="Rectangle 12" o:spid="_x0000_s1026" style="position:absolute;margin-left:6.4pt;margin-top:0;width:57.6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" o:allowincell="f" stroked="f">
                  <v:textbox>
                    <w:txbxContent>
                      <w:p w14:paraId="347F5184" w14:textId="4BFCFC4B" w:rsidR="000F58B9" w:rsidRDefault="000F58B9">
                        <w:pPr>
                          <w:pBdr>
                            <w:bottom w:val="single" w:sz="4" w:space="1" w:color="auto"/>
                          </w:pBdr>
                        </w:pPr>
                        <w:r>
                          <w:fldChar w:fldCharType="begin"/>
                        </w:r>
                        <w:r>
                          <w:instrText xml:space="preserve"> PAGE   \* MERGEFORMAT </w:instrText>
                        </w:r>
                        <w:r>
                          <w:fldChar w:fldCharType="separate"/>
                        </w:r>
                        <w:r w:rsidR="007D30E4">
                          <w:rPr>
                            <w:noProof/>
                          </w:rPr>
                          <w:t>16</w:t>
                        </w:r>
                        <w:r>
                          <w:rPr>
                            <w:noProof/>
                          </w:rPr>
                          <w:fldChar w:fldCharType="end"/>
                        </w:r>
                      </w:p>
                    </w:txbxContent>
                  </v:textbox>
                  <w10:wrap anchorx="margin" anchory="margin"/>
                </v:rect>
              </w:pict>
            </mc:Fallback>
          </mc:AlternateContent>
        </w:r>
      </w:sdtContent>
    </w:sdt>
    <w:r w:rsidR="000F58B9" w:rsidRPr="009157E7">
      <w:rPr>
        <w:sz w:val="18"/>
        <w:szCs w:val="18"/>
      </w:rPr>
      <w:fldChar w:fldCharType="begin"/>
    </w:r>
    <w:r w:rsidR="000F58B9" w:rsidRPr="009157E7">
      <w:rPr>
        <w:sz w:val="18"/>
        <w:szCs w:val="18"/>
      </w:rPr>
      <w:instrText xml:space="preserve"> REF  DocTitle  \* MERGEFORMAT </w:instrText>
    </w:r>
    <w:r w:rsidR="000F58B9" w:rsidRPr="009157E7">
      <w:rPr>
        <w:sz w:val="18"/>
        <w:szCs w:val="18"/>
      </w:rPr>
      <w:fldChar w:fldCharType="separate"/>
    </w:r>
    <w:r w:rsidR="000F58B9" w:rsidRPr="004B2F6B">
      <w:rPr>
        <w:sz w:val="18"/>
        <w:szCs w:val="18"/>
      </w:rPr>
      <w:t xml:space="preserve">Recommended Practices for Best Execution Reporting as required by MiFID II RTS 27 &amp; 28 with reference to </w:t>
    </w:r>
  </w:p>
  <w:p w14:paraId="631BE7A1" w14:textId="29239608" w:rsidR="000F58B9" w:rsidRPr="009157E7" w:rsidRDefault="000F58B9" w:rsidP="00FD256A">
    <w:pPr>
      <w:rPr>
        <w:sz w:val="18"/>
        <w:szCs w:val="18"/>
      </w:rPr>
    </w:pPr>
    <w:r w:rsidRPr="004B2F6B">
      <w:rPr>
        <w:sz w:val="18"/>
        <w:szCs w:val="18"/>
      </w:rPr>
      <w:t xml:space="preserve">Delegated Act 2398 Article 65.6 </w:t>
    </w:r>
    <w:r w:rsidRPr="009157E7">
      <w:rPr>
        <w:sz w:val="18"/>
        <w:szCs w:val="18"/>
      </w:rPr>
      <w:fldChar w:fldCharType="end"/>
    </w:r>
    <w:r>
      <w:rPr>
        <w:sz w:val="18"/>
        <w:szCs w:val="18"/>
      </w:rPr>
      <w:t xml:space="preserve">- </w:t>
    </w:r>
    <w:r>
      <w:fldChar w:fldCharType="begin"/>
    </w:r>
    <w:r>
      <w:instrText xml:space="preserve"> FILENAME   \* MERGEFORMAT </w:instrText>
    </w:r>
    <w:r>
      <w:rPr>
        <w:noProof/>
      </w:rPr>
      <w:fldChar w:fldCharType="end"/>
    </w:r>
  </w:p>
  <w:p w14:paraId="4091E900" w14:textId="3F62C8BE" w:rsidR="000F58B9" w:rsidRPr="00DB1B0E" w:rsidRDefault="000F58B9" w:rsidP="00FD256A">
    <w:pPr>
      <w:pBdr>
        <w:bottom w:val="single" w:sz="4" w:space="1" w:color="auto"/>
      </w:pBdr>
      <w:jc w:val="right"/>
      <w:rPr>
        <w:szCs w:val="20"/>
      </w:rPr>
    </w:pPr>
    <w:r>
      <w:t>12/10/1017</w:t>
    </w:r>
    <w:r w:rsidRPr="00DB1B0E">
      <w:rPr>
        <w:szCs w:val="20"/>
      </w:rPr>
      <w:t xml:space="preserve">- </w:t>
    </w:r>
    <w:r>
      <w:rPr>
        <w:szCs w:val="20"/>
      </w:rPr>
      <w:t>0.35</w:t>
    </w:r>
  </w:p>
  <w:p w14:paraId="38A472DA" w14:textId="77777777" w:rsidR="000F58B9" w:rsidRDefault="000F58B9" w:rsidP="00640B1F">
    <w:pPr>
      <w:pStyle w:val="Header"/>
      <w:tabs>
        <w:tab w:val="clear" w:pos="864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F543B"/>
    <w:multiLevelType w:val="multilevel"/>
    <w:tmpl w:val="2F121154"/>
    <w:lvl w:ilvl="0">
      <w:start w:val="1"/>
      <w:numFmt w:val="decimal"/>
      <w:pStyle w:val="Heading1"/>
      <w:lvlText w:val="%1"/>
      <w:lvlJc w:val="left"/>
      <w:pPr>
        <w:ind w:left="702" w:hanging="432"/>
      </w:pPr>
      <w:rPr>
        <w:rFonts w:hint="default"/>
      </w:rPr>
    </w:lvl>
    <w:lvl w:ilvl="1">
      <w:start w:val="1"/>
      <w:numFmt w:val="decimal"/>
      <w:pStyle w:val="Heading2"/>
      <w:lvlText w:val="%1.%2"/>
      <w:lvlJc w:val="left"/>
      <w:pPr>
        <w:ind w:left="6389" w:hanging="576"/>
      </w:pPr>
      <w:rPr>
        <w:rFonts w:hint="default"/>
      </w:rPr>
    </w:lvl>
    <w:lvl w:ilvl="2">
      <w:start w:val="1"/>
      <w:numFmt w:val="decimal"/>
      <w:pStyle w:val="Heading3"/>
      <w:lvlText w:val="%1.%2.%3"/>
      <w:lvlJc w:val="left"/>
      <w:pPr>
        <w:ind w:left="1080" w:hanging="720"/>
      </w:pPr>
      <w:rPr>
        <w:rFonts w:hint="default"/>
      </w:rPr>
    </w:lvl>
    <w:lvl w:ilvl="3">
      <w:start w:val="1"/>
      <w:numFmt w:val="decimal"/>
      <w:pStyle w:val="Heading4"/>
      <w:lvlText w:val="%1.%2.%3.%4"/>
      <w:lvlJc w:val="left"/>
      <w:pPr>
        <w:ind w:left="9228" w:hanging="864"/>
      </w:pPr>
      <w:rPr>
        <w:rFonts w:hint="default"/>
      </w:rPr>
    </w:lvl>
    <w:lvl w:ilvl="4">
      <w:start w:val="1"/>
      <w:numFmt w:val="decimal"/>
      <w:pStyle w:val="Heading5"/>
      <w:lvlText w:val="%1.%2.%3.%4.%5"/>
      <w:lvlJc w:val="left"/>
      <w:pPr>
        <w:ind w:left="3985" w:hanging="1008"/>
      </w:pPr>
      <w:rPr>
        <w:rFonts w:hint="default"/>
      </w:rPr>
    </w:lvl>
    <w:lvl w:ilvl="5">
      <w:start w:val="1"/>
      <w:numFmt w:val="decimal"/>
      <w:pStyle w:val="Heading6"/>
      <w:lvlText w:val="%1.%2.%3.%4.%5.%6"/>
      <w:lvlJc w:val="left"/>
      <w:pPr>
        <w:ind w:left="1422" w:hanging="1152"/>
      </w:pPr>
      <w:rPr>
        <w:rFonts w:hint="default"/>
      </w:rPr>
    </w:lvl>
    <w:lvl w:ilvl="6">
      <w:start w:val="1"/>
      <w:numFmt w:val="decimal"/>
      <w:pStyle w:val="Heading7"/>
      <w:lvlText w:val="%1.%2.%3.%4.%5.%6.%7"/>
      <w:lvlJc w:val="left"/>
      <w:pPr>
        <w:ind w:left="1566" w:hanging="1296"/>
      </w:pPr>
      <w:rPr>
        <w:rFonts w:hint="default"/>
      </w:rPr>
    </w:lvl>
    <w:lvl w:ilvl="7">
      <w:start w:val="1"/>
      <w:numFmt w:val="decimal"/>
      <w:pStyle w:val="Heading8"/>
      <w:lvlText w:val="%1.%2.%3.%4.%5.%6.%7.%8"/>
      <w:lvlJc w:val="left"/>
      <w:pPr>
        <w:ind w:left="1710" w:hanging="1440"/>
      </w:pPr>
      <w:rPr>
        <w:rFonts w:hint="default"/>
      </w:rPr>
    </w:lvl>
    <w:lvl w:ilvl="8">
      <w:start w:val="1"/>
      <w:numFmt w:val="decimal"/>
      <w:pStyle w:val="Heading9"/>
      <w:lvlText w:val="%1.%2.%3.%4.%5.%6.%7.%8.%9"/>
      <w:lvlJc w:val="left"/>
      <w:pPr>
        <w:ind w:left="1854" w:hanging="1584"/>
      </w:pPr>
      <w:rPr>
        <w:rFonts w:hint="default"/>
      </w:rPr>
    </w:lvl>
  </w:abstractNum>
  <w:abstractNum w:abstractNumId="1" w15:restartNumberingAfterBreak="0">
    <w:nsid w:val="03837237"/>
    <w:multiLevelType w:val="hybridMultilevel"/>
    <w:tmpl w:val="09FC8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3C5A80"/>
    <w:multiLevelType w:val="hybridMultilevel"/>
    <w:tmpl w:val="E4063ABE"/>
    <w:lvl w:ilvl="0" w:tplc="FC6ECCB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D347DA2"/>
    <w:multiLevelType w:val="hybridMultilevel"/>
    <w:tmpl w:val="3042B75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1D47538A"/>
    <w:multiLevelType w:val="hybridMultilevel"/>
    <w:tmpl w:val="4E3CA4E6"/>
    <w:lvl w:ilvl="0" w:tplc="7D689AA6">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 w15:restartNumberingAfterBreak="0">
    <w:nsid w:val="2D9150F7"/>
    <w:multiLevelType w:val="hybridMultilevel"/>
    <w:tmpl w:val="C51E9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371C2E"/>
    <w:multiLevelType w:val="hybridMultilevel"/>
    <w:tmpl w:val="905CA804"/>
    <w:lvl w:ilvl="0" w:tplc="20E4332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8F54EAC"/>
    <w:multiLevelType w:val="multilevel"/>
    <w:tmpl w:val="B5B2F5BC"/>
    <w:lvl w:ilvl="0">
      <w:start w:val="7"/>
      <w:numFmt w:val="decimal"/>
      <w:lvlText w:val="%1."/>
      <w:lvlJc w:val="left"/>
      <w:pPr>
        <w:ind w:left="1062" w:hanging="360"/>
      </w:pPr>
      <w:rPr>
        <w:rFonts w:hint="default"/>
      </w:rPr>
    </w:lvl>
    <w:lvl w:ilvl="1">
      <w:start w:val="1"/>
      <w:numFmt w:val="decimal"/>
      <w:isLgl/>
      <w:lvlText w:val="%1.%2"/>
      <w:lvlJc w:val="left"/>
      <w:pPr>
        <w:ind w:left="1080" w:hanging="360"/>
      </w:pPr>
      <w:rPr>
        <w:rFonts w:hint="default"/>
      </w:rPr>
    </w:lvl>
    <w:lvl w:ilvl="2">
      <w:start w:val="1"/>
      <w:numFmt w:val="decimalZero"/>
      <w:isLgl/>
      <w:lvlText w:val="%1.%2.%3"/>
      <w:lvlJc w:val="left"/>
      <w:pPr>
        <w:ind w:left="1458" w:hanging="720"/>
      </w:pPr>
      <w:rPr>
        <w:rFonts w:hint="default"/>
      </w:rPr>
    </w:lvl>
    <w:lvl w:ilvl="3">
      <w:start w:val="1"/>
      <w:numFmt w:val="decimal"/>
      <w:isLgl/>
      <w:lvlText w:val="%1.%2.%3.%4"/>
      <w:lvlJc w:val="left"/>
      <w:pPr>
        <w:ind w:left="1476" w:hanging="720"/>
      </w:pPr>
      <w:rPr>
        <w:rFonts w:hint="default"/>
      </w:rPr>
    </w:lvl>
    <w:lvl w:ilvl="4">
      <w:start w:val="1"/>
      <w:numFmt w:val="decimal"/>
      <w:isLgl/>
      <w:lvlText w:val="%1.%2.%3.%4.%5"/>
      <w:lvlJc w:val="left"/>
      <w:pPr>
        <w:ind w:left="1854" w:hanging="1080"/>
      </w:pPr>
      <w:rPr>
        <w:rFonts w:hint="default"/>
      </w:rPr>
    </w:lvl>
    <w:lvl w:ilvl="5">
      <w:start w:val="1"/>
      <w:numFmt w:val="decimal"/>
      <w:isLgl/>
      <w:lvlText w:val="%1.%2.%3.%4.%5.%6"/>
      <w:lvlJc w:val="left"/>
      <w:pPr>
        <w:ind w:left="1872" w:hanging="1080"/>
      </w:pPr>
      <w:rPr>
        <w:rFonts w:hint="default"/>
      </w:rPr>
    </w:lvl>
    <w:lvl w:ilvl="6">
      <w:start w:val="1"/>
      <w:numFmt w:val="decimal"/>
      <w:isLgl/>
      <w:lvlText w:val="%1.%2.%3.%4.%5.%6.%7"/>
      <w:lvlJc w:val="left"/>
      <w:pPr>
        <w:ind w:left="2250" w:hanging="1440"/>
      </w:pPr>
      <w:rPr>
        <w:rFonts w:hint="default"/>
      </w:rPr>
    </w:lvl>
    <w:lvl w:ilvl="7">
      <w:start w:val="1"/>
      <w:numFmt w:val="decimal"/>
      <w:isLgl/>
      <w:lvlText w:val="%1.%2.%3.%4.%5.%6.%7.%8"/>
      <w:lvlJc w:val="left"/>
      <w:pPr>
        <w:ind w:left="2268" w:hanging="1440"/>
      </w:pPr>
      <w:rPr>
        <w:rFonts w:hint="default"/>
      </w:rPr>
    </w:lvl>
    <w:lvl w:ilvl="8">
      <w:start w:val="1"/>
      <w:numFmt w:val="decimal"/>
      <w:isLgl/>
      <w:lvlText w:val="%1.%2.%3.%4.%5.%6.%7.%8.%9"/>
      <w:lvlJc w:val="left"/>
      <w:pPr>
        <w:ind w:left="2646" w:hanging="1800"/>
      </w:pPr>
      <w:rPr>
        <w:rFonts w:hint="default"/>
      </w:rPr>
    </w:lvl>
  </w:abstractNum>
  <w:abstractNum w:abstractNumId="8" w15:restartNumberingAfterBreak="0">
    <w:nsid w:val="39357649"/>
    <w:multiLevelType w:val="hybridMultilevel"/>
    <w:tmpl w:val="4BF08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EB076E"/>
    <w:multiLevelType w:val="hybridMultilevel"/>
    <w:tmpl w:val="76F40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0146F1"/>
    <w:multiLevelType w:val="hybridMultilevel"/>
    <w:tmpl w:val="AA32EF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D9399E"/>
    <w:multiLevelType w:val="hybridMultilevel"/>
    <w:tmpl w:val="4FBAFD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C1632FA"/>
    <w:multiLevelType w:val="hybridMultilevel"/>
    <w:tmpl w:val="BD8C383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3" w15:restartNumberingAfterBreak="0">
    <w:nsid w:val="536217E6"/>
    <w:multiLevelType w:val="hybridMultilevel"/>
    <w:tmpl w:val="F36AED28"/>
    <w:lvl w:ilvl="0" w:tplc="01F8C4A2">
      <w:start w:val="49"/>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E509A6"/>
    <w:multiLevelType w:val="multilevel"/>
    <w:tmpl w:val="C18C96D0"/>
    <w:lvl w:ilvl="0">
      <w:start w:val="8"/>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Zero"/>
      <w:isLgl/>
      <w:lvlText w:val="%1.%2.%3"/>
      <w:lvlJc w:val="left"/>
      <w:pPr>
        <w:ind w:left="1004"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5" w15:restartNumberingAfterBreak="0">
    <w:nsid w:val="5ADB57E7"/>
    <w:multiLevelType w:val="hybridMultilevel"/>
    <w:tmpl w:val="ED42B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C684EA8"/>
    <w:multiLevelType w:val="hybridMultilevel"/>
    <w:tmpl w:val="9F4E21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5E9072B2"/>
    <w:multiLevelType w:val="hybridMultilevel"/>
    <w:tmpl w:val="B8924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A0362"/>
    <w:multiLevelType w:val="hybridMultilevel"/>
    <w:tmpl w:val="D7902724"/>
    <w:lvl w:ilvl="0" w:tplc="67A823DE">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6E56337D"/>
    <w:multiLevelType w:val="hybridMultilevel"/>
    <w:tmpl w:val="E654AF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136D73"/>
    <w:multiLevelType w:val="hybridMultilevel"/>
    <w:tmpl w:val="478A0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26A0D77"/>
    <w:multiLevelType w:val="hybridMultilevel"/>
    <w:tmpl w:val="5C5EEA0C"/>
    <w:lvl w:ilvl="0" w:tplc="82E0319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4CE4B3D"/>
    <w:multiLevelType w:val="hybridMultilevel"/>
    <w:tmpl w:val="5C5EEA0C"/>
    <w:lvl w:ilvl="0" w:tplc="82E0319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B136B64"/>
    <w:multiLevelType w:val="hybridMultilevel"/>
    <w:tmpl w:val="F17CC7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9"/>
  </w:num>
  <w:num w:numId="3">
    <w:abstractNumId w:val="10"/>
  </w:num>
  <w:num w:numId="4">
    <w:abstractNumId w:val="1"/>
  </w:num>
  <w:num w:numId="5">
    <w:abstractNumId w:val="9"/>
  </w:num>
  <w:num w:numId="6">
    <w:abstractNumId w:val="2"/>
  </w:num>
  <w:num w:numId="7">
    <w:abstractNumId w:val="22"/>
  </w:num>
  <w:num w:numId="8">
    <w:abstractNumId w:val="21"/>
  </w:num>
  <w:num w:numId="9">
    <w:abstractNumId w:val="11"/>
  </w:num>
  <w:num w:numId="10">
    <w:abstractNumId w:val="17"/>
  </w:num>
  <w:num w:numId="11">
    <w:abstractNumId w:val="15"/>
  </w:num>
  <w:num w:numId="12">
    <w:abstractNumId w:val="23"/>
  </w:num>
  <w:num w:numId="13">
    <w:abstractNumId w:val="14"/>
  </w:num>
  <w:num w:numId="14">
    <w:abstractNumId w:val="7"/>
  </w:num>
  <w:num w:numId="15">
    <w:abstractNumId w:val="6"/>
  </w:num>
  <w:num w:numId="16">
    <w:abstractNumId w:val="20"/>
  </w:num>
  <w:num w:numId="17">
    <w:abstractNumId w:val="4"/>
  </w:num>
  <w:num w:numId="1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8"/>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num>
  <w:num w:numId="25">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73DF"/>
    <w:rsid w:val="000000BA"/>
    <w:rsid w:val="00001B12"/>
    <w:rsid w:val="00002F57"/>
    <w:rsid w:val="000058C8"/>
    <w:rsid w:val="000113A3"/>
    <w:rsid w:val="000130B2"/>
    <w:rsid w:val="00014CA9"/>
    <w:rsid w:val="00014F08"/>
    <w:rsid w:val="00016E66"/>
    <w:rsid w:val="00017096"/>
    <w:rsid w:val="00021C94"/>
    <w:rsid w:val="000251AB"/>
    <w:rsid w:val="0003149A"/>
    <w:rsid w:val="00032151"/>
    <w:rsid w:val="00033091"/>
    <w:rsid w:val="000356C7"/>
    <w:rsid w:val="0003573B"/>
    <w:rsid w:val="00035962"/>
    <w:rsid w:val="0004414C"/>
    <w:rsid w:val="000455C5"/>
    <w:rsid w:val="00046880"/>
    <w:rsid w:val="00056957"/>
    <w:rsid w:val="000570B1"/>
    <w:rsid w:val="00057695"/>
    <w:rsid w:val="000616A6"/>
    <w:rsid w:val="0006632D"/>
    <w:rsid w:val="000727B8"/>
    <w:rsid w:val="00072AB6"/>
    <w:rsid w:val="000731DD"/>
    <w:rsid w:val="00074584"/>
    <w:rsid w:val="00080375"/>
    <w:rsid w:val="0008205A"/>
    <w:rsid w:val="000872BF"/>
    <w:rsid w:val="00091238"/>
    <w:rsid w:val="000915F9"/>
    <w:rsid w:val="00093983"/>
    <w:rsid w:val="00095309"/>
    <w:rsid w:val="00096217"/>
    <w:rsid w:val="0009708B"/>
    <w:rsid w:val="0009763B"/>
    <w:rsid w:val="000A0861"/>
    <w:rsid w:val="000A2D5C"/>
    <w:rsid w:val="000A30AB"/>
    <w:rsid w:val="000A551D"/>
    <w:rsid w:val="000A6A6D"/>
    <w:rsid w:val="000B410A"/>
    <w:rsid w:val="000B64BA"/>
    <w:rsid w:val="000C0A75"/>
    <w:rsid w:val="000C45F7"/>
    <w:rsid w:val="000C65D7"/>
    <w:rsid w:val="000C676A"/>
    <w:rsid w:val="000C6816"/>
    <w:rsid w:val="000D0093"/>
    <w:rsid w:val="000D00EA"/>
    <w:rsid w:val="000D1EC8"/>
    <w:rsid w:val="000D27E0"/>
    <w:rsid w:val="000D54E7"/>
    <w:rsid w:val="000D6351"/>
    <w:rsid w:val="000D74AF"/>
    <w:rsid w:val="000D7608"/>
    <w:rsid w:val="000D77B9"/>
    <w:rsid w:val="000E1486"/>
    <w:rsid w:val="000E264B"/>
    <w:rsid w:val="000E37C3"/>
    <w:rsid w:val="000E4635"/>
    <w:rsid w:val="000E5596"/>
    <w:rsid w:val="000E61A0"/>
    <w:rsid w:val="000E6FDC"/>
    <w:rsid w:val="000E72BF"/>
    <w:rsid w:val="000F05F3"/>
    <w:rsid w:val="000F58B9"/>
    <w:rsid w:val="000F5937"/>
    <w:rsid w:val="0010123E"/>
    <w:rsid w:val="0010383E"/>
    <w:rsid w:val="00116FD0"/>
    <w:rsid w:val="00117215"/>
    <w:rsid w:val="001224DA"/>
    <w:rsid w:val="001224E5"/>
    <w:rsid w:val="0012274A"/>
    <w:rsid w:val="001253F4"/>
    <w:rsid w:val="00126240"/>
    <w:rsid w:val="00132FEC"/>
    <w:rsid w:val="00142D98"/>
    <w:rsid w:val="00143B49"/>
    <w:rsid w:val="0014578E"/>
    <w:rsid w:val="001466D0"/>
    <w:rsid w:val="001476F0"/>
    <w:rsid w:val="00147A76"/>
    <w:rsid w:val="001523CC"/>
    <w:rsid w:val="00160B61"/>
    <w:rsid w:val="00162880"/>
    <w:rsid w:val="00163CFE"/>
    <w:rsid w:val="00165218"/>
    <w:rsid w:val="00170F81"/>
    <w:rsid w:val="00171BC7"/>
    <w:rsid w:val="00172ACC"/>
    <w:rsid w:val="00175E9E"/>
    <w:rsid w:val="00176A97"/>
    <w:rsid w:val="00182C20"/>
    <w:rsid w:val="001836D0"/>
    <w:rsid w:val="0019025B"/>
    <w:rsid w:val="00197C02"/>
    <w:rsid w:val="001A5BA8"/>
    <w:rsid w:val="001A7579"/>
    <w:rsid w:val="001B59E6"/>
    <w:rsid w:val="001C0855"/>
    <w:rsid w:val="001C4C84"/>
    <w:rsid w:val="001C4D5A"/>
    <w:rsid w:val="001C60EE"/>
    <w:rsid w:val="001D2230"/>
    <w:rsid w:val="001E2FD8"/>
    <w:rsid w:val="001E3558"/>
    <w:rsid w:val="001E5748"/>
    <w:rsid w:val="001E5755"/>
    <w:rsid w:val="001E7962"/>
    <w:rsid w:val="001F2FBC"/>
    <w:rsid w:val="001F5CF8"/>
    <w:rsid w:val="001F6EE1"/>
    <w:rsid w:val="0020047D"/>
    <w:rsid w:val="002005D5"/>
    <w:rsid w:val="00201E61"/>
    <w:rsid w:val="0021242F"/>
    <w:rsid w:val="00214A16"/>
    <w:rsid w:val="00215852"/>
    <w:rsid w:val="00221AC6"/>
    <w:rsid w:val="0022302C"/>
    <w:rsid w:val="002235FC"/>
    <w:rsid w:val="002248AA"/>
    <w:rsid w:val="002327C9"/>
    <w:rsid w:val="00236DA6"/>
    <w:rsid w:val="00244CC5"/>
    <w:rsid w:val="002473ED"/>
    <w:rsid w:val="00247766"/>
    <w:rsid w:val="002538F6"/>
    <w:rsid w:val="00261175"/>
    <w:rsid w:val="00261904"/>
    <w:rsid w:val="002624EE"/>
    <w:rsid w:val="00262610"/>
    <w:rsid w:val="0026561B"/>
    <w:rsid w:val="00265DD1"/>
    <w:rsid w:val="0027057F"/>
    <w:rsid w:val="00274C6A"/>
    <w:rsid w:val="00275221"/>
    <w:rsid w:val="00275282"/>
    <w:rsid w:val="00276F21"/>
    <w:rsid w:val="00276F2A"/>
    <w:rsid w:val="002773BC"/>
    <w:rsid w:val="00277B47"/>
    <w:rsid w:val="00285E2F"/>
    <w:rsid w:val="0028760A"/>
    <w:rsid w:val="0029386E"/>
    <w:rsid w:val="00293C01"/>
    <w:rsid w:val="00293DC9"/>
    <w:rsid w:val="00295AB1"/>
    <w:rsid w:val="00295D50"/>
    <w:rsid w:val="00296C97"/>
    <w:rsid w:val="002A19F7"/>
    <w:rsid w:val="002A2D61"/>
    <w:rsid w:val="002A3076"/>
    <w:rsid w:val="002B3E83"/>
    <w:rsid w:val="002B4094"/>
    <w:rsid w:val="002B4272"/>
    <w:rsid w:val="002B67C5"/>
    <w:rsid w:val="002C3DC0"/>
    <w:rsid w:val="002C4272"/>
    <w:rsid w:val="002C5A6A"/>
    <w:rsid w:val="002C6943"/>
    <w:rsid w:val="002C795C"/>
    <w:rsid w:val="002D01AB"/>
    <w:rsid w:val="002D5BB6"/>
    <w:rsid w:val="002D6DB6"/>
    <w:rsid w:val="002D776A"/>
    <w:rsid w:val="002D7933"/>
    <w:rsid w:val="002E16F8"/>
    <w:rsid w:val="002E6139"/>
    <w:rsid w:val="002E6AC6"/>
    <w:rsid w:val="002E7FCD"/>
    <w:rsid w:val="002F341B"/>
    <w:rsid w:val="002F6500"/>
    <w:rsid w:val="002F738E"/>
    <w:rsid w:val="002F7D28"/>
    <w:rsid w:val="00300C18"/>
    <w:rsid w:val="00300F0A"/>
    <w:rsid w:val="003011B1"/>
    <w:rsid w:val="0030262D"/>
    <w:rsid w:val="00303D4B"/>
    <w:rsid w:val="00303E54"/>
    <w:rsid w:val="0031002B"/>
    <w:rsid w:val="0031072B"/>
    <w:rsid w:val="0031100F"/>
    <w:rsid w:val="00314B09"/>
    <w:rsid w:val="003174F6"/>
    <w:rsid w:val="00321061"/>
    <w:rsid w:val="00322084"/>
    <w:rsid w:val="00324DDB"/>
    <w:rsid w:val="003318F4"/>
    <w:rsid w:val="00331B08"/>
    <w:rsid w:val="003333C2"/>
    <w:rsid w:val="003422E3"/>
    <w:rsid w:val="003433CE"/>
    <w:rsid w:val="00347117"/>
    <w:rsid w:val="003537AE"/>
    <w:rsid w:val="003564E8"/>
    <w:rsid w:val="00360A11"/>
    <w:rsid w:val="003704FE"/>
    <w:rsid w:val="00373385"/>
    <w:rsid w:val="00375BE5"/>
    <w:rsid w:val="003778F8"/>
    <w:rsid w:val="00380B5E"/>
    <w:rsid w:val="003855B3"/>
    <w:rsid w:val="00386461"/>
    <w:rsid w:val="00393DDF"/>
    <w:rsid w:val="00396270"/>
    <w:rsid w:val="00396B13"/>
    <w:rsid w:val="003977AF"/>
    <w:rsid w:val="003A5F4D"/>
    <w:rsid w:val="003A7BB9"/>
    <w:rsid w:val="003B1B1C"/>
    <w:rsid w:val="003B1DB5"/>
    <w:rsid w:val="003B470F"/>
    <w:rsid w:val="003C2BE6"/>
    <w:rsid w:val="003C35DC"/>
    <w:rsid w:val="003C4C95"/>
    <w:rsid w:val="003D3414"/>
    <w:rsid w:val="003D5399"/>
    <w:rsid w:val="003D6EBA"/>
    <w:rsid w:val="003E0625"/>
    <w:rsid w:val="003E2447"/>
    <w:rsid w:val="003E25D5"/>
    <w:rsid w:val="003F0AFF"/>
    <w:rsid w:val="003F27AC"/>
    <w:rsid w:val="003F3218"/>
    <w:rsid w:val="003F378C"/>
    <w:rsid w:val="003F422E"/>
    <w:rsid w:val="003F4B16"/>
    <w:rsid w:val="003F52B8"/>
    <w:rsid w:val="003F664D"/>
    <w:rsid w:val="003F69D2"/>
    <w:rsid w:val="003F72BB"/>
    <w:rsid w:val="004037FA"/>
    <w:rsid w:val="004109C7"/>
    <w:rsid w:val="00410CF5"/>
    <w:rsid w:val="004119AC"/>
    <w:rsid w:val="00413267"/>
    <w:rsid w:val="00413BF9"/>
    <w:rsid w:val="00414EBB"/>
    <w:rsid w:val="00417A29"/>
    <w:rsid w:val="00422E2D"/>
    <w:rsid w:val="004232B0"/>
    <w:rsid w:val="00425334"/>
    <w:rsid w:val="004263A5"/>
    <w:rsid w:val="0043045D"/>
    <w:rsid w:val="00430F09"/>
    <w:rsid w:val="00431326"/>
    <w:rsid w:val="00432C2E"/>
    <w:rsid w:val="00437BC4"/>
    <w:rsid w:val="00441A1D"/>
    <w:rsid w:val="0044369F"/>
    <w:rsid w:val="00443ADA"/>
    <w:rsid w:val="0044430E"/>
    <w:rsid w:val="00447140"/>
    <w:rsid w:val="00454336"/>
    <w:rsid w:val="00454552"/>
    <w:rsid w:val="0045586D"/>
    <w:rsid w:val="00456B32"/>
    <w:rsid w:val="004610B0"/>
    <w:rsid w:val="004632A8"/>
    <w:rsid w:val="00470576"/>
    <w:rsid w:val="00472487"/>
    <w:rsid w:val="00473264"/>
    <w:rsid w:val="0047476D"/>
    <w:rsid w:val="0048031E"/>
    <w:rsid w:val="00481CDE"/>
    <w:rsid w:val="004829A2"/>
    <w:rsid w:val="00482C1E"/>
    <w:rsid w:val="004842D0"/>
    <w:rsid w:val="00487F73"/>
    <w:rsid w:val="004945D8"/>
    <w:rsid w:val="0049626C"/>
    <w:rsid w:val="00497652"/>
    <w:rsid w:val="004A0172"/>
    <w:rsid w:val="004A03CA"/>
    <w:rsid w:val="004A2031"/>
    <w:rsid w:val="004A339D"/>
    <w:rsid w:val="004A3B9E"/>
    <w:rsid w:val="004A5BB4"/>
    <w:rsid w:val="004B1110"/>
    <w:rsid w:val="004B2F6B"/>
    <w:rsid w:val="004B6F02"/>
    <w:rsid w:val="004C13BD"/>
    <w:rsid w:val="004C15FA"/>
    <w:rsid w:val="004C422C"/>
    <w:rsid w:val="004C5FAF"/>
    <w:rsid w:val="004C65CD"/>
    <w:rsid w:val="004D09C5"/>
    <w:rsid w:val="004D6D69"/>
    <w:rsid w:val="004D7ED1"/>
    <w:rsid w:val="004E1B41"/>
    <w:rsid w:val="004E1B68"/>
    <w:rsid w:val="004E1E17"/>
    <w:rsid w:val="004E4057"/>
    <w:rsid w:val="004F1DAA"/>
    <w:rsid w:val="004F1DD8"/>
    <w:rsid w:val="004F20B7"/>
    <w:rsid w:val="004F4C68"/>
    <w:rsid w:val="004F5338"/>
    <w:rsid w:val="004F59AA"/>
    <w:rsid w:val="004F62BB"/>
    <w:rsid w:val="00504CF0"/>
    <w:rsid w:val="005134AE"/>
    <w:rsid w:val="005151FD"/>
    <w:rsid w:val="00527264"/>
    <w:rsid w:val="005329FB"/>
    <w:rsid w:val="00540F69"/>
    <w:rsid w:val="005410A4"/>
    <w:rsid w:val="00542077"/>
    <w:rsid w:val="00542A5C"/>
    <w:rsid w:val="00543DBA"/>
    <w:rsid w:val="0054487B"/>
    <w:rsid w:val="005465CE"/>
    <w:rsid w:val="005467FC"/>
    <w:rsid w:val="00547D03"/>
    <w:rsid w:val="00551F5C"/>
    <w:rsid w:val="00554CF0"/>
    <w:rsid w:val="0055593A"/>
    <w:rsid w:val="00557AED"/>
    <w:rsid w:val="00562BED"/>
    <w:rsid w:val="00563119"/>
    <w:rsid w:val="00565E01"/>
    <w:rsid w:val="00567298"/>
    <w:rsid w:val="0056783F"/>
    <w:rsid w:val="00567AE7"/>
    <w:rsid w:val="00567DFD"/>
    <w:rsid w:val="00572A66"/>
    <w:rsid w:val="005737D1"/>
    <w:rsid w:val="00574A4D"/>
    <w:rsid w:val="00576EFB"/>
    <w:rsid w:val="005777ED"/>
    <w:rsid w:val="00583464"/>
    <w:rsid w:val="005840D6"/>
    <w:rsid w:val="00591FD5"/>
    <w:rsid w:val="00592FF5"/>
    <w:rsid w:val="00593CF6"/>
    <w:rsid w:val="00595D9C"/>
    <w:rsid w:val="00596F66"/>
    <w:rsid w:val="0059764C"/>
    <w:rsid w:val="005A1224"/>
    <w:rsid w:val="005A22A3"/>
    <w:rsid w:val="005A6357"/>
    <w:rsid w:val="005A7499"/>
    <w:rsid w:val="005B4134"/>
    <w:rsid w:val="005B57A2"/>
    <w:rsid w:val="005B5D2E"/>
    <w:rsid w:val="005B6E59"/>
    <w:rsid w:val="005B7061"/>
    <w:rsid w:val="005B7838"/>
    <w:rsid w:val="005C2A42"/>
    <w:rsid w:val="005C7F06"/>
    <w:rsid w:val="005D422E"/>
    <w:rsid w:val="005D536D"/>
    <w:rsid w:val="005D628B"/>
    <w:rsid w:val="005E4D1E"/>
    <w:rsid w:val="005E5EB6"/>
    <w:rsid w:val="005E78A4"/>
    <w:rsid w:val="00600A1C"/>
    <w:rsid w:val="0060570E"/>
    <w:rsid w:val="006118CE"/>
    <w:rsid w:val="0061223B"/>
    <w:rsid w:val="00616B30"/>
    <w:rsid w:val="00621516"/>
    <w:rsid w:val="006226D8"/>
    <w:rsid w:val="00625787"/>
    <w:rsid w:val="00633AA6"/>
    <w:rsid w:val="00634D0E"/>
    <w:rsid w:val="0063666E"/>
    <w:rsid w:val="006405DA"/>
    <w:rsid w:val="00640B1F"/>
    <w:rsid w:val="00641FE6"/>
    <w:rsid w:val="00647722"/>
    <w:rsid w:val="006551F2"/>
    <w:rsid w:val="006556CF"/>
    <w:rsid w:val="00655EC5"/>
    <w:rsid w:val="00655FD7"/>
    <w:rsid w:val="00656F51"/>
    <w:rsid w:val="00662AA1"/>
    <w:rsid w:val="00663096"/>
    <w:rsid w:val="00665440"/>
    <w:rsid w:val="006654AD"/>
    <w:rsid w:val="0067061C"/>
    <w:rsid w:val="00670F5F"/>
    <w:rsid w:val="006740DA"/>
    <w:rsid w:val="00676F41"/>
    <w:rsid w:val="00680252"/>
    <w:rsid w:val="00682DE5"/>
    <w:rsid w:val="006841F4"/>
    <w:rsid w:val="00684A48"/>
    <w:rsid w:val="00684EE1"/>
    <w:rsid w:val="00686700"/>
    <w:rsid w:val="0069482B"/>
    <w:rsid w:val="006964F6"/>
    <w:rsid w:val="00696841"/>
    <w:rsid w:val="006A0524"/>
    <w:rsid w:val="006B1000"/>
    <w:rsid w:val="006B4469"/>
    <w:rsid w:val="006B4681"/>
    <w:rsid w:val="006B4E4B"/>
    <w:rsid w:val="006C0E66"/>
    <w:rsid w:val="006C2CC2"/>
    <w:rsid w:val="006C4BAA"/>
    <w:rsid w:val="006C73B0"/>
    <w:rsid w:val="006D084A"/>
    <w:rsid w:val="006D0CC8"/>
    <w:rsid w:val="006D51E3"/>
    <w:rsid w:val="006D74BA"/>
    <w:rsid w:val="006D77E2"/>
    <w:rsid w:val="006D7F27"/>
    <w:rsid w:val="006E1A2E"/>
    <w:rsid w:val="006E2AFA"/>
    <w:rsid w:val="006E3E2F"/>
    <w:rsid w:val="006F0743"/>
    <w:rsid w:val="006F09E9"/>
    <w:rsid w:val="007018C6"/>
    <w:rsid w:val="00704F5F"/>
    <w:rsid w:val="00705A68"/>
    <w:rsid w:val="00711359"/>
    <w:rsid w:val="007116FE"/>
    <w:rsid w:val="00711813"/>
    <w:rsid w:val="00715242"/>
    <w:rsid w:val="00715BCD"/>
    <w:rsid w:val="00721543"/>
    <w:rsid w:val="007252D9"/>
    <w:rsid w:val="00730DFB"/>
    <w:rsid w:val="00731A98"/>
    <w:rsid w:val="007353D6"/>
    <w:rsid w:val="007441EB"/>
    <w:rsid w:val="0075248F"/>
    <w:rsid w:val="00753791"/>
    <w:rsid w:val="0075653D"/>
    <w:rsid w:val="00756C3B"/>
    <w:rsid w:val="00757739"/>
    <w:rsid w:val="007600CB"/>
    <w:rsid w:val="0076019B"/>
    <w:rsid w:val="007620D5"/>
    <w:rsid w:val="007625F6"/>
    <w:rsid w:val="0076596C"/>
    <w:rsid w:val="007706C9"/>
    <w:rsid w:val="00776C74"/>
    <w:rsid w:val="00781F16"/>
    <w:rsid w:val="007835BA"/>
    <w:rsid w:val="00784628"/>
    <w:rsid w:val="00790133"/>
    <w:rsid w:val="0079020E"/>
    <w:rsid w:val="00790BF6"/>
    <w:rsid w:val="007918C5"/>
    <w:rsid w:val="007A2D2F"/>
    <w:rsid w:val="007A5197"/>
    <w:rsid w:val="007A6EDE"/>
    <w:rsid w:val="007A7274"/>
    <w:rsid w:val="007A7848"/>
    <w:rsid w:val="007B3543"/>
    <w:rsid w:val="007B37A2"/>
    <w:rsid w:val="007B4010"/>
    <w:rsid w:val="007B4890"/>
    <w:rsid w:val="007C2DEE"/>
    <w:rsid w:val="007C3DC9"/>
    <w:rsid w:val="007C5B81"/>
    <w:rsid w:val="007C731B"/>
    <w:rsid w:val="007D30E4"/>
    <w:rsid w:val="007D434C"/>
    <w:rsid w:val="007E03BB"/>
    <w:rsid w:val="007E0AE4"/>
    <w:rsid w:val="007E3157"/>
    <w:rsid w:val="007E5E60"/>
    <w:rsid w:val="007F233D"/>
    <w:rsid w:val="007F74CB"/>
    <w:rsid w:val="0080139B"/>
    <w:rsid w:val="008028A6"/>
    <w:rsid w:val="00803403"/>
    <w:rsid w:val="00805EA3"/>
    <w:rsid w:val="00807084"/>
    <w:rsid w:val="008101B2"/>
    <w:rsid w:val="00810287"/>
    <w:rsid w:val="00821B4D"/>
    <w:rsid w:val="00826CA5"/>
    <w:rsid w:val="00831122"/>
    <w:rsid w:val="0083143A"/>
    <w:rsid w:val="008447CA"/>
    <w:rsid w:val="00845431"/>
    <w:rsid w:val="00847261"/>
    <w:rsid w:val="00847840"/>
    <w:rsid w:val="0085189F"/>
    <w:rsid w:val="00853CEE"/>
    <w:rsid w:val="00855637"/>
    <w:rsid w:val="008556F3"/>
    <w:rsid w:val="00856983"/>
    <w:rsid w:val="00864C5B"/>
    <w:rsid w:val="0086627C"/>
    <w:rsid w:val="0086665C"/>
    <w:rsid w:val="0087385B"/>
    <w:rsid w:val="00873A6A"/>
    <w:rsid w:val="0087402A"/>
    <w:rsid w:val="008762B7"/>
    <w:rsid w:val="008778E8"/>
    <w:rsid w:val="00882F18"/>
    <w:rsid w:val="0088504D"/>
    <w:rsid w:val="0088632E"/>
    <w:rsid w:val="00890127"/>
    <w:rsid w:val="008955DC"/>
    <w:rsid w:val="00895719"/>
    <w:rsid w:val="008A2976"/>
    <w:rsid w:val="008A5C9E"/>
    <w:rsid w:val="008B0BFA"/>
    <w:rsid w:val="008B1D07"/>
    <w:rsid w:val="008B6EDD"/>
    <w:rsid w:val="008B6F67"/>
    <w:rsid w:val="008B7A96"/>
    <w:rsid w:val="008C131F"/>
    <w:rsid w:val="008C1910"/>
    <w:rsid w:val="008C1AEC"/>
    <w:rsid w:val="008C2396"/>
    <w:rsid w:val="008C4459"/>
    <w:rsid w:val="008C6456"/>
    <w:rsid w:val="008C6B93"/>
    <w:rsid w:val="008D1377"/>
    <w:rsid w:val="008D7FF0"/>
    <w:rsid w:val="008E0EC9"/>
    <w:rsid w:val="008F1DB2"/>
    <w:rsid w:val="008F411F"/>
    <w:rsid w:val="008F6576"/>
    <w:rsid w:val="008F72BB"/>
    <w:rsid w:val="009011E6"/>
    <w:rsid w:val="00901BCE"/>
    <w:rsid w:val="00901D03"/>
    <w:rsid w:val="00901E1D"/>
    <w:rsid w:val="00904CCF"/>
    <w:rsid w:val="00907099"/>
    <w:rsid w:val="009077A5"/>
    <w:rsid w:val="00913786"/>
    <w:rsid w:val="00914267"/>
    <w:rsid w:val="009157E7"/>
    <w:rsid w:val="00921ECE"/>
    <w:rsid w:val="00923005"/>
    <w:rsid w:val="00923E68"/>
    <w:rsid w:val="00924BDC"/>
    <w:rsid w:val="00932840"/>
    <w:rsid w:val="0094224B"/>
    <w:rsid w:val="0094229F"/>
    <w:rsid w:val="00944BC8"/>
    <w:rsid w:val="0094611E"/>
    <w:rsid w:val="009466AD"/>
    <w:rsid w:val="009576AC"/>
    <w:rsid w:val="00961498"/>
    <w:rsid w:val="00962865"/>
    <w:rsid w:val="00962C7D"/>
    <w:rsid w:val="00963336"/>
    <w:rsid w:val="00973E86"/>
    <w:rsid w:val="00976A9E"/>
    <w:rsid w:val="009777A6"/>
    <w:rsid w:val="009813A9"/>
    <w:rsid w:val="00981418"/>
    <w:rsid w:val="00993DF7"/>
    <w:rsid w:val="00994EE4"/>
    <w:rsid w:val="00995AAB"/>
    <w:rsid w:val="009A02CA"/>
    <w:rsid w:val="009A6294"/>
    <w:rsid w:val="009A6C96"/>
    <w:rsid w:val="009B0530"/>
    <w:rsid w:val="009B0850"/>
    <w:rsid w:val="009B1843"/>
    <w:rsid w:val="009C317D"/>
    <w:rsid w:val="009C5CA7"/>
    <w:rsid w:val="009C6629"/>
    <w:rsid w:val="009D4375"/>
    <w:rsid w:val="009D5B98"/>
    <w:rsid w:val="009E081B"/>
    <w:rsid w:val="009F0C4A"/>
    <w:rsid w:val="009F38A9"/>
    <w:rsid w:val="009F4869"/>
    <w:rsid w:val="009F54D7"/>
    <w:rsid w:val="00A0045E"/>
    <w:rsid w:val="00A00700"/>
    <w:rsid w:val="00A1162B"/>
    <w:rsid w:val="00A116BD"/>
    <w:rsid w:val="00A11D00"/>
    <w:rsid w:val="00A14AFD"/>
    <w:rsid w:val="00A16BBB"/>
    <w:rsid w:val="00A1750E"/>
    <w:rsid w:val="00A2243E"/>
    <w:rsid w:val="00A25757"/>
    <w:rsid w:val="00A274A6"/>
    <w:rsid w:val="00A35120"/>
    <w:rsid w:val="00A409B0"/>
    <w:rsid w:val="00A421ED"/>
    <w:rsid w:val="00A52F9F"/>
    <w:rsid w:val="00A56D59"/>
    <w:rsid w:val="00A617AE"/>
    <w:rsid w:val="00A6236E"/>
    <w:rsid w:val="00A66280"/>
    <w:rsid w:val="00A70206"/>
    <w:rsid w:val="00A71C04"/>
    <w:rsid w:val="00A71E53"/>
    <w:rsid w:val="00A7298A"/>
    <w:rsid w:val="00A7378B"/>
    <w:rsid w:val="00A73D30"/>
    <w:rsid w:val="00A75DE9"/>
    <w:rsid w:val="00A76968"/>
    <w:rsid w:val="00A81CA9"/>
    <w:rsid w:val="00A90838"/>
    <w:rsid w:val="00A90C71"/>
    <w:rsid w:val="00A9172B"/>
    <w:rsid w:val="00A928E8"/>
    <w:rsid w:val="00A92914"/>
    <w:rsid w:val="00A937D5"/>
    <w:rsid w:val="00A9410B"/>
    <w:rsid w:val="00A950F5"/>
    <w:rsid w:val="00AA2080"/>
    <w:rsid w:val="00AA43E7"/>
    <w:rsid w:val="00AA563A"/>
    <w:rsid w:val="00AA63EE"/>
    <w:rsid w:val="00AB2451"/>
    <w:rsid w:val="00AB5CC7"/>
    <w:rsid w:val="00AC6678"/>
    <w:rsid w:val="00AC6A6D"/>
    <w:rsid w:val="00AC77FA"/>
    <w:rsid w:val="00AD0C70"/>
    <w:rsid w:val="00AD2B3E"/>
    <w:rsid w:val="00AD4C44"/>
    <w:rsid w:val="00AD5637"/>
    <w:rsid w:val="00AD76FA"/>
    <w:rsid w:val="00AE41E8"/>
    <w:rsid w:val="00AE49E8"/>
    <w:rsid w:val="00AE50FE"/>
    <w:rsid w:val="00AE63D0"/>
    <w:rsid w:val="00AE66A7"/>
    <w:rsid w:val="00AF0F25"/>
    <w:rsid w:val="00AF2751"/>
    <w:rsid w:val="00AF3FEF"/>
    <w:rsid w:val="00AF42FB"/>
    <w:rsid w:val="00AF6F0A"/>
    <w:rsid w:val="00B013EB"/>
    <w:rsid w:val="00B057C8"/>
    <w:rsid w:val="00B06007"/>
    <w:rsid w:val="00B062EF"/>
    <w:rsid w:val="00B069DD"/>
    <w:rsid w:val="00B06DD0"/>
    <w:rsid w:val="00B06E66"/>
    <w:rsid w:val="00B07952"/>
    <w:rsid w:val="00B1175B"/>
    <w:rsid w:val="00B15F2B"/>
    <w:rsid w:val="00B17022"/>
    <w:rsid w:val="00B178FF"/>
    <w:rsid w:val="00B253F1"/>
    <w:rsid w:val="00B25785"/>
    <w:rsid w:val="00B32083"/>
    <w:rsid w:val="00B33972"/>
    <w:rsid w:val="00B36812"/>
    <w:rsid w:val="00B3682A"/>
    <w:rsid w:val="00B36F11"/>
    <w:rsid w:val="00B42EA7"/>
    <w:rsid w:val="00B46B5B"/>
    <w:rsid w:val="00B54142"/>
    <w:rsid w:val="00B56353"/>
    <w:rsid w:val="00B61599"/>
    <w:rsid w:val="00B65DC1"/>
    <w:rsid w:val="00B67495"/>
    <w:rsid w:val="00B70C71"/>
    <w:rsid w:val="00B713E1"/>
    <w:rsid w:val="00B7143D"/>
    <w:rsid w:val="00B7188B"/>
    <w:rsid w:val="00B73073"/>
    <w:rsid w:val="00B73111"/>
    <w:rsid w:val="00B758E0"/>
    <w:rsid w:val="00B75C88"/>
    <w:rsid w:val="00B77CA6"/>
    <w:rsid w:val="00B85D86"/>
    <w:rsid w:val="00B90F91"/>
    <w:rsid w:val="00B918B4"/>
    <w:rsid w:val="00B922D9"/>
    <w:rsid w:val="00B94F13"/>
    <w:rsid w:val="00B97219"/>
    <w:rsid w:val="00BA2A9B"/>
    <w:rsid w:val="00BA31A9"/>
    <w:rsid w:val="00BA4C82"/>
    <w:rsid w:val="00BB0E62"/>
    <w:rsid w:val="00BB2955"/>
    <w:rsid w:val="00BB39AF"/>
    <w:rsid w:val="00BB519B"/>
    <w:rsid w:val="00BC5779"/>
    <w:rsid w:val="00BC702C"/>
    <w:rsid w:val="00BD085A"/>
    <w:rsid w:val="00BD14CC"/>
    <w:rsid w:val="00BD2C2C"/>
    <w:rsid w:val="00BD39FB"/>
    <w:rsid w:val="00BD6B40"/>
    <w:rsid w:val="00BE0BAE"/>
    <w:rsid w:val="00BE0EE0"/>
    <w:rsid w:val="00BE2DF5"/>
    <w:rsid w:val="00BE5C1B"/>
    <w:rsid w:val="00BE5CA9"/>
    <w:rsid w:val="00BE7F6D"/>
    <w:rsid w:val="00BF015C"/>
    <w:rsid w:val="00BF05B7"/>
    <w:rsid w:val="00BF0BB1"/>
    <w:rsid w:val="00BF2186"/>
    <w:rsid w:val="00BF2A66"/>
    <w:rsid w:val="00BF2B75"/>
    <w:rsid w:val="00BF2B82"/>
    <w:rsid w:val="00BF50FD"/>
    <w:rsid w:val="00BF5E22"/>
    <w:rsid w:val="00C0131C"/>
    <w:rsid w:val="00C013E9"/>
    <w:rsid w:val="00C03DC2"/>
    <w:rsid w:val="00C04F06"/>
    <w:rsid w:val="00C05FBF"/>
    <w:rsid w:val="00C07DFB"/>
    <w:rsid w:val="00C13298"/>
    <w:rsid w:val="00C2125E"/>
    <w:rsid w:val="00C21565"/>
    <w:rsid w:val="00C241F8"/>
    <w:rsid w:val="00C33A6F"/>
    <w:rsid w:val="00C343B4"/>
    <w:rsid w:val="00C41B2C"/>
    <w:rsid w:val="00C41BCE"/>
    <w:rsid w:val="00C57002"/>
    <w:rsid w:val="00C57381"/>
    <w:rsid w:val="00C635FB"/>
    <w:rsid w:val="00C641F0"/>
    <w:rsid w:val="00C673C4"/>
    <w:rsid w:val="00C84578"/>
    <w:rsid w:val="00C84FE4"/>
    <w:rsid w:val="00C92BA9"/>
    <w:rsid w:val="00C934A9"/>
    <w:rsid w:val="00C949B9"/>
    <w:rsid w:val="00CA0D3A"/>
    <w:rsid w:val="00CA4356"/>
    <w:rsid w:val="00CA4E13"/>
    <w:rsid w:val="00CA7180"/>
    <w:rsid w:val="00CB0E71"/>
    <w:rsid w:val="00CB1801"/>
    <w:rsid w:val="00CB6B64"/>
    <w:rsid w:val="00CB723B"/>
    <w:rsid w:val="00CC134C"/>
    <w:rsid w:val="00CC26DB"/>
    <w:rsid w:val="00CC30CD"/>
    <w:rsid w:val="00CC33DF"/>
    <w:rsid w:val="00CC4E45"/>
    <w:rsid w:val="00CC770A"/>
    <w:rsid w:val="00CD4793"/>
    <w:rsid w:val="00CD4A98"/>
    <w:rsid w:val="00CD61FD"/>
    <w:rsid w:val="00CD62D8"/>
    <w:rsid w:val="00CD7B03"/>
    <w:rsid w:val="00CF1685"/>
    <w:rsid w:val="00CF26FD"/>
    <w:rsid w:val="00CF3BD2"/>
    <w:rsid w:val="00CF540A"/>
    <w:rsid w:val="00D00141"/>
    <w:rsid w:val="00D001DD"/>
    <w:rsid w:val="00D00676"/>
    <w:rsid w:val="00D05C2F"/>
    <w:rsid w:val="00D10E43"/>
    <w:rsid w:val="00D1137D"/>
    <w:rsid w:val="00D15FE7"/>
    <w:rsid w:val="00D1601F"/>
    <w:rsid w:val="00D23CC3"/>
    <w:rsid w:val="00D32BF2"/>
    <w:rsid w:val="00D33E96"/>
    <w:rsid w:val="00D348C4"/>
    <w:rsid w:val="00D35183"/>
    <w:rsid w:val="00D355F1"/>
    <w:rsid w:val="00D35A38"/>
    <w:rsid w:val="00D35D1A"/>
    <w:rsid w:val="00D35F98"/>
    <w:rsid w:val="00D40A7C"/>
    <w:rsid w:val="00D40DBF"/>
    <w:rsid w:val="00D47C63"/>
    <w:rsid w:val="00D47F41"/>
    <w:rsid w:val="00D50272"/>
    <w:rsid w:val="00D60051"/>
    <w:rsid w:val="00D60AC2"/>
    <w:rsid w:val="00D60ECB"/>
    <w:rsid w:val="00D60F6C"/>
    <w:rsid w:val="00D622C3"/>
    <w:rsid w:val="00D63412"/>
    <w:rsid w:val="00D65542"/>
    <w:rsid w:val="00D70729"/>
    <w:rsid w:val="00D70C1F"/>
    <w:rsid w:val="00D70E81"/>
    <w:rsid w:val="00D7117B"/>
    <w:rsid w:val="00D73F36"/>
    <w:rsid w:val="00D754AF"/>
    <w:rsid w:val="00D819D2"/>
    <w:rsid w:val="00D821DC"/>
    <w:rsid w:val="00D84744"/>
    <w:rsid w:val="00D84AE5"/>
    <w:rsid w:val="00D84F3D"/>
    <w:rsid w:val="00D855F6"/>
    <w:rsid w:val="00D873DF"/>
    <w:rsid w:val="00DA0230"/>
    <w:rsid w:val="00DA2314"/>
    <w:rsid w:val="00DA265B"/>
    <w:rsid w:val="00DA2C76"/>
    <w:rsid w:val="00DB0786"/>
    <w:rsid w:val="00DB1B0E"/>
    <w:rsid w:val="00DB38A2"/>
    <w:rsid w:val="00DB45AE"/>
    <w:rsid w:val="00DB5387"/>
    <w:rsid w:val="00DB5889"/>
    <w:rsid w:val="00DB6AEE"/>
    <w:rsid w:val="00DB74BC"/>
    <w:rsid w:val="00DB7830"/>
    <w:rsid w:val="00DC72CE"/>
    <w:rsid w:val="00DC7D7C"/>
    <w:rsid w:val="00DD0AF9"/>
    <w:rsid w:val="00DD1A3A"/>
    <w:rsid w:val="00DD1C9D"/>
    <w:rsid w:val="00DD44E0"/>
    <w:rsid w:val="00DE104C"/>
    <w:rsid w:val="00DE196E"/>
    <w:rsid w:val="00DE683E"/>
    <w:rsid w:val="00DF2938"/>
    <w:rsid w:val="00DF433E"/>
    <w:rsid w:val="00DF5979"/>
    <w:rsid w:val="00DF5CC8"/>
    <w:rsid w:val="00E01726"/>
    <w:rsid w:val="00E11E1C"/>
    <w:rsid w:val="00E212A5"/>
    <w:rsid w:val="00E2582D"/>
    <w:rsid w:val="00E30A87"/>
    <w:rsid w:val="00E31FBC"/>
    <w:rsid w:val="00E32560"/>
    <w:rsid w:val="00E33674"/>
    <w:rsid w:val="00E34465"/>
    <w:rsid w:val="00E3677A"/>
    <w:rsid w:val="00E36BED"/>
    <w:rsid w:val="00E376DF"/>
    <w:rsid w:val="00E44204"/>
    <w:rsid w:val="00E4685C"/>
    <w:rsid w:val="00E53249"/>
    <w:rsid w:val="00E55609"/>
    <w:rsid w:val="00E61940"/>
    <w:rsid w:val="00E63C57"/>
    <w:rsid w:val="00E640D8"/>
    <w:rsid w:val="00E6723D"/>
    <w:rsid w:val="00E7753D"/>
    <w:rsid w:val="00E820C2"/>
    <w:rsid w:val="00E85665"/>
    <w:rsid w:val="00E85E4A"/>
    <w:rsid w:val="00E866C1"/>
    <w:rsid w:val="00E8713C"/>
    <w:rsid w:val="00E90785"/>
    <w:rsid w:val="00E908BD"/>
    <w:rsid w:val="00EA2B6D"/>
    <w:rsid w:val="00EA2BD2"/>
    <w:rsid w:val="00EA2EEC"/>
    <w:rsid w:val="00EA357B"/>
    <w:rsid w:val="00EA564F"/>
    <w:rsid w:val="00EA6020"/>
    <w:rsid w:val="00EA6806"/>
    <w:rsid w:val="00EA72E1"/>
    <w:rsid w:val="00EB357D"/>
    <w:rsid w:val="00EB3D4B"/>
    <w:rsid w:val="00EB41FD"/>
    <w:rsid w:val="00EC57E3"/>
    <w:rsid w:val="00ED4091"/>
    <w:rsid w:val="00ED5843"/>
    <w:rsid w:val="00ED6650"/>
    <w:rsid w:val="00EE1FE2"/>
    <w:rsid w:val="00EE2CCB"/>
    <w:rsid w:val="00EE35D4"/>
    <w:rsid w:val="00EE36E2"/>
    <w:rsid w:val="00EF0442"/>
    <w:rsid w:val="00EF2080"/>
    <w:rsid w:val="00EF58BF"/>
    <w:rsid w:val="00F00481"/>
    <w:rsid w:val="00F005C6"/>
    <w:rsid w:val="00F03DD0"/>
    <w:rsid w:val="00F05C70"/>
    <w:rsid w:val="00F05D3C"/>
    <w:rsid w:val="00F07410"/>
    <w:rsid w:val="00F103D4"/>
    <w:rsid w:val="00F137BF"/>
    <w:rsid w:val="00F13BF4"/>
    <w:rsid w:val="00F20E45"/>
    <w:rsid w:val="00F21845"/>
    <w:rsid w:val="00F22794"/>
    <w:rsid w:val="00F233E3"/>
    <w:rsid w:val="00F255A4"/>
    <w:rsid w:val="00F3004E"/>
    <w:rsid w:val="00F36289"/>
    <w:rsid w:val="00F369BE"/>
    <w:rsid w:val="00F37117"/>
    <w:rsid w:val="00F425F4"/>
    <w:rsid w:val="00F464AD"/>
    <w:rsid w:val="00F47594"/>
    <w:rsid w:val="00F5194E"/>
    <w:rsid w:val="00F554B1"/>
    <w:rsid w:val="00F631D9"/>
    <w:rsid w:val="00F64722"/>
    <w:rsid w:val="00F70374"/>
    <w:rsid w:val="00F71697"/>
    <w:rsid w:val="00F7226F"/>
    <w:rsid w:val="00F73461"/>
    <w:rsid w:val="00F761EA"/>
    <w:rsid w:val="00F763AC"/>
    <w:rsid w:val="00F83F05"/>
    <w:rsid w:val="00F842B7"/>
    <w:rsid w:val="00F85F52"/>
    <w:rsid w:val="00F861A9"/>
    <w:rsid w:val="00F90543"/>
    <w:rsid w:val="00F9602D"/>
    <w:rsid w:val="00FA1302"/>
    <w:rsid w:val="00FA22C2"/>
    <w:rsid w:val="00FA3D6B"/>
    <w:rsid w:val="00FB0D02"/>
    <w:rsid w:val="00FB2367"/>
    <w:rsid w:val="00FB35F3"/>
    <w:rsid w:val="00FB39C9"/>
    <w:rsid w:val="00FB4021"/>
    <w:rsid w:val="00FB6AF6"/>
    <w:rsid w:val="00FC6AC2"/>
    <w:rsid w:val="00FC7192"/>
    <w:rsid w:val="00FD0336"/>
    <w:rsid w:val="00FD0C03"/>
    <w:rsid w:val="00FD256A"/>
    <w:rsid w:val="00FD2FDE"/>
    <w:rsid w:val="00FD360F"/>
    <w:rsid w:val="00FD36A2"/>
    <w:rsid w:val="00FD50F0"/>
    <w:rsid w:val="00FD62CD"/>
    <w:rsid w:val="00FE4086"/>
    <w:rsid w:val="00FE7BF8"/>
    <w:rsid w:val="00FF0218"/>
    <w:rsid w:val="00FF0E5F"/>
    <w:rsid w:val="00FF1458"/>
    <w:rsid w:val="00FF14FD"/>
    <w:rsid w:val="00FF1683"/>
    <w:rsid w:val="00FF4714"/>
    <w:rsid w:val="00FF5C88"/>
    <w:rsid w:val="00FF6A92"/>
    <w:rsid w:val="00FF73B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C8AB7C"/>
  <w15:docId w15:val="{433E1F90-C586-41BC-9BF6-3947B459C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DB5387"/>
    <w:rPr>
      <w:rFonts w:ascii="Arial" w:hAnsi="Arial"/>
      <w:szCs w:val="24"/>
    </w:rPr>
  </w:style>
  <w:style w:type="paragraph" w:styleId="Heading1">
    <w:name w:val="heading 1"/>
    <w:basedOn w:val="Normal"/>
    <w:next w:val="Normal"/>
    <w:link w:val="Heading1Char"/>
    <w:qFormat/>
    <w:rsid w:val="00E31FBC"/>
    <w:pPr>
      <w:keepNext/>
      <w:numPr>
        <w:numId w:val="1"/>
      </w:numPr>
      <w:tabs>
        <w:tab w:val="left" w:pos="360"/>
      </w:tabs>
      <w:spacing w:before="240" w:after="60"/>
      <w:outlineLvl w:val="0"/>
    </w:pPr>
    <w:rPr>
      <w:rFonts w:cs="Arial"/>
      <w:b/>
      <w:bCs/>
      <w:kern w:val="32"/>
      <w:sz w:val="32"/>
      <w:szCs w:val="32"/>
    </w:rPr>
  </w:style>
  <w:style w:type="paragraph" w:styleId="Heading2">
    <w:name w:val="heading 2"/>
    <w:basedOn w:val="Normal"/>
    <w:next w:val="Normal"/>
    <w:link w:val="Heading2Char"/>
    <w:qFormat/>
    <w:rsid w:val="002F738E"/>
    <w:pPr>
      <w:keepNext/>
      <w:numPr>
        <w:ilvl w:val="1"/>
        <w:numId w:val="1"/>
      </w:numPr>
      <w:spacing w:before="240" w:after="60"/>
      <w:ind w:left="576"/>
      <w:outlineLvl w:val="1"/>
    </w:pPr>
    <w:rPr>
      <w:rFonts w:cs="Arial"/>
      <w:b/>
      <w:bCs/>
      <w:i/>
      <w:iCs/>
      <w:sz w:val="28"/>
      <w:szCs w:val="28"/>
    </w:rPr>
  </w:style>
  <w:style w:type="paragraph" w:styleId="Heading3">
    <w:name w:val="heading 3"/>
    <w:basedOn w:val="Normal"/>
    <w:next w:val="Normal"/>
    <w:qFormat/>
    <w:rsid w:val="002F738E"/>
    <w:pPr>
      <w:keepNext/>
      <w:numPr>
        <w:ilvl w:val="2"/>
        <w:numId w:val="1"/>
      </w:numPr>
      <w:spacing w:before="240" w:after="60"/>
      <w:ind w:left="1440"/>
      <w:outlineLvl w:val="2"/>
    </w:pPr>
    <w:rPr>
      <w:rFonts w:cs="Arial"/>
      <w:b/>
      <w:bCs/>
      <w:sz w:val="26"/>
      <w:szCs w:val="26"/>
    </w:rPr>
  </w:style>
  <w:style w:type="paragraph" w:styleId="Heading4">
    <w:name w:val="heading 4"/>
    <w:basedOn w:val="Normal"/>
    <w:next w:val="Normal"/>
    <w:qFormat/>
    <w:rsid w:val="00E31FBC"/>
    <w:pPr>
      <w:keepNext/>
      <w:numPr>
        <w:ilvl w:val="3"/>
        <w:numId w:val="1"/>
      </w:numPr>
      <w:spacing w:before="240" w:after="60"/>
      <w:ind w:left="1134"/>
      <w:outlineLvl w:val="3"/>
    </w:pPr>
    <w:rPr>
      <w:b/>
      <w:bCs/>
      <w:i/>
      <w:sz w:val="22"/>
      <w:szCs w:val="28"/>
    </w:rPr>
  </w:style>
  <w:style w:type="paragraph" w:styleId="Heading5">
    <w:name w:val="heading 5"/>
    <w:basedOn w:val="Normal"/>
    <w:next w:val="Normal"/>
    <w:qFormat/>
    <w:rsid w:val="00E31FBC"/>
    <w:pPr>
      <w:numPr>
        <w:ilvl w:val="4"/>
        <w:numId w:val="1"/>
      </w:numPr>
      <w:spacing w:before="240" w:after="60"/>
      <w:ind w:left="1278"/>
      <w:outlineLvl w:val="4"/>
    </w:pPr>
    <w:rPr>
      <w:b/>
      <w:bCs/>
      <w:i/>
      <w:iCs/>
      <w:sz w:val="26"/>
      <w:szCs w:val="26"/>
    </w:rPr>
  </w:style>
  <w:style w:type="paragraph" w:styleId="Heading6">
    <w:name w:val="heading 6"/>
    <w:basedOn w:val="Normal"/>
    <w:next w:val="Normal"/>
    <w:qFormat/>
    <w:rsid w:val="00E31FBC"/>
    <w:pPr>
      <w:numPr>
        <w:ilvl w:val="5"/>
        <w:numId w:val="1"/>
      </w:numPr>
      <w:spacing w:before="240" w:after="60"/>
      <w:outlineLvl w:val="5"/>
    </w:pPr>
    <w:rPr>
      <w:b/>
      <w:bCs/>
      <w:sz w:val="22"/>
      <w:szCs w:val="22"/>
    </w:rPr>
  </w:style>
  <w:style w:type="paragraph" w:styleId="Heading7">
    <w:name w:val="heading 7"/>
    <w:basedOn w:val="Normal"/>
    <w:next w:val="Normal"/>
    <w:qFormat/>
    <w:rsid w:val="00E31FBC"/>
    <w:pPr>
      <w:numPr>
        <w:ilvl w:val="6"/>
        <w:numId w:val="1"/>
      </w:numPr>
      <w:spacing w:before="240" w:after="60"/>
      <w:outlineLvl w:val="6"/>
    </w:pPr>
    <w:rPr>
      <w:sz w:val="24"/>
    </w:rPr>
  </w:style>
  <w:style w:type="paragraph" w:styleId="Heading8">
    <w:name w:val="heading 8"/>
    <w:basedOn w:val="Normal"/>
    <w:next w:val="Normal"/>
    <w:qFormat/>
    <w:rsid w:val="00E31FBC"/>
    <w:pPr>
      <w:numPr>
        <w:ilvl w:val="7"/>
        <w:numId w:val="1"/>
      </w:numPr>
      <w:spacing w:before="240" w:after="60"/>
      <w:outlineLvl w:val="7"/>
    </w:pPr>
    <w:rPr>
      <w:i/>
      <w:iCs/>
      <w:sz w:val="24"/>
    </w:rPr>
  </w:style>
  <w:style w:type="paragraph" w:styleId="Heading9">
    <w:name w:val="heading 9"/>
    <w:basedOn w:val="Normal"/>
    <w:next w:val="Normal"/>
    <w:qFormat/>
    <w:rsid w:val="00E31FBC"/>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C57381"/>
    <w:pPr>
      <w:spacing w:after="120"/>
    </w:pPr>
  </w:style>
  <w:style w:type="paragraph" w:styleId="Title">
    <w:name w:val="Title"/>
    <w:basedOn w:val="Normal"/>
    <w:qFormat/>
    <w:rsid w:val="00D873DF"/>
    <w:pPr>
      <w:spacing w:before="240" w:after="60"/>
      <w:jc w:val="center"/>
      <w:outlineLvl w:val="0"/>
    </w:pPr>
    <w:rPr>
      <w:rFonts w:cs="Arial"/>
      <w:b/>
      <w:bCs/>
      <w:kern w:val="28"/>
      <w:sz w:val="32"/>
      <w:szCs w:val="32"/>
    </w:rPr>
  </w:style>
  <w:style w:type="paragraph" w:styleId="Header">
    <w:name w:val="header"/>
    <w:basedOn w:val="Normal"/>
    <w:rsid w:val="00D873DF"/>
    <w:pPr>
      <w:tabs>
        <w:tab w:val="center" w:pos="4320"/>
        <w:tab w:val="right" w:pos="8640"/>
      </w:tabs>
    </w:pPr>
  </w:style>
  <w:style w:type="paragraph" w:styleId="Footer">
    <w:name w:val="footer"/>
    <w:basedOn w:val="Normal"/>
    <w:link w:val="FooterChar"/>
    <w:uiPriority w:val="99"/>
    <w:rsid w:val="00D873DF"/>
    <w:pPr>
      <w:tabs>
        <w:tab w:val="center" w:pos="4320"/>
        <w:tab w:val="right" w:pos="8640"/>
      </w:tabs>
    </w:pPr>
  </w:style>
  <w:style w:type="character" w:styleId="CommentReference">
    <w:name w:val="annotation reference"/>
    <w:semiHidden/>
    <w:rsid w:val="00E90785"/>
    <w:rPr>
      <w:sz w:val="16"/>
      <w:szCs w:val="16"/>
    </w:rPr>
  </w:style>
  <w:style w:type="paragraph" w:styleId="CommentText">
    <w:name w:val="annotation text"/>
    <w:basedOn w:val="Normal"/>
    <w:link w:val="CommentTextChar"/>
    <w:semiHidden/>
    <w:rsid w:val="00E90785"/>
    <w:pPr>
      <w:spacing w:before="120"/>
      <w:jc w:val="both"/>
    </w:pPr>
    <w:rPr>
      <w:color w:val="000000"/>
      <w:szCs w:val="20"/>
      <w:lang w:eastAsia="ja-JP"/>
    </w:rPr>
  </w:style>
  <w:style w:type="paragraph" w:styleId="CommentSubject">
    <w:name w:val="annotation subject"/>
    <w:basedOn w:val="CommentText"/>
    <w:next w:val="CommentText"/>
    <w:semiHidden/>
    <w:rsid w:val="007F233D"/>
    <w:pPr>
      <w:spacing w:before="0"/>
      <w:jc w:val="left"/>
    </w:pPr>
    <w:rPr>
      <w:b/>
      <w:bCs/>
      <w:color w:val="auto"/>
      <w:lang w:eastAsia="en-US"/>
    </w:rPr>
  </w:style>
  <w:style w:type="paragraph" w:styleId="BalloonText">
    <w:name w:val="Balloon Text"/>
    <w:basedOn w:val="Normal"/>
    <w:semiHidden/>
    <w:rsid w:val="007F233D"/>
    <w:rPr>
      <w:rFonts w:ascii="Tahoma" w:hAnsi="Tahoma" w:cs="Tahoma"/>
      <w:sz w:val="16"/>
      <w:szCs w:val="16"/>
    </w:rPr>
  </w:style>
  <w:style w:type="paragraph" w:styleId="TOC1">
    <w:name w:val="toc 1"/>
    <w:basedOn w:val="Normal"/>
    <w:next w:val="Normal"/>
    <w:autoRedefine/>
    <w:uiPriority w:val="39"/>
    <w:rsid w:val="00214A16"/>
    <w:pPr>
      <w:tabs>
        <w:tab w:val="right" w:leader="dot" w:pos="9350"/>
      </w:tabs>
    </w:pPr>
  </w:style>
  <w:style w:type="character" w:styleId="Hyperlink">
    <w:name w:val="Hyperlink"/>
    <w:uiPriority w:val="99"/>
    <w:rsid w:val="000B410A"/>
    <w:rPr>
      <w:color w:val="0000FF"/>
      <w:u w:val="single"/>
    </w:rPr>
  </w:style>
  <w:style w:type="table" w:styleId="TableGrid">
    <w:name w:val="Table Grid"/>
    <w:basedOn w:val="TableNormal"/>
    <w:uiPriority w:val="59"/>
    <w:rsid w:val="005D6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5C2A42"/>
    <w:pPr>
      <w:tabs>
        <w:tab w:val="left" w:pos="180"/>
        <w:tab w:val="left" w:pos="540"/>
      </w:tabs>
      <w:ind w:left="720" w:hanging="360"/>
      <w:jc w:val="both"/>
    </w:pPr>
    <w:rPr>
      <w:color w:val="000000"/>
      <w:szCs w:val="20"/>
    </w:rPr>
  </w:style>
  <w:style w:type="paragraph" w:styleId="BlockText">
    <w:name w:val="Block Text"/>
    <w:basedOn w:val="Normal"/>
    <w:rsid w:val="00CC134C"/>
    <w:pPr>
      <w:spacing w:before="120" w:after="120"/>
      <w:ind w:left="1440" w:right="1440"/>
      <w:jc w:val="both"/>
    </w:pPr>
    <w:rPr>
      <w:color w:val="000000"/>
      <w:szCs w:val="20"/>
      <w:lang w:eastAsia="zh-CN"/>
    </w:rPr>
  </w:style>
  <w:style w:type="paragraph" w:styleId="TOC2">
    <w:name w:val="toc 2"/>
    <w:basedOn w:val="Normal"/>
    <w:next w:val="Normal"/>
    <w:autoRedefine/>
    <w:uiPriority w:val="39"/>
    <w:rsid w:val="00214A16"/>
    <w:pPr>
      <w:tabs>
        <w:tab w:val="left" w:pos="1080"/>
        <w:tab w:val="right" w:leader="dot" w:pos="9350"/>
      </w:tabs>
      <w:ind w:left="450"/>
    </w:pPr>
    <w:rPr>
      <w:noProof/>
    </w:rPr>
  </w:style>
  <w:style w:type="paragraph" w:customStyle="1" w:styleId="Style1">
    <w:name w:val="Style1"/>
    <w:basedOn w:val="TOC2"/>
    <w:autoRedefine/>
    <w:qFormat/>
    <w:rsid w:val="00D1601F"/>
  </w:style>
  <w:style w:type="paragraph" w:styleId="Revision">
    <w:name w:val="Revision"/>
    <w:hidden/>
    <w:uiPriority w:val="99"/>
    <w:semiHidden/>
    <w:rsid w:val="00BD39FB"/>
    <w:rPr>
      <w:szCs w:val="24"/>
    </w:rPr>
  </w:style>
  <w:style w:type="character" w:customStyle="1" w:styleId="Heading1Char">
    <w:name w:val="Heading 1 Char"/>
    <w:link w:val="Heading1"/>
    <w:rsid w:val="00826CA5"/>
    <w:rPr>
      <w:rFonts w:ascii="Arial" w:hAnsi="Arial" w:cs="Arial"/>
      <w:b/>
      <w:bCs/>
      <w:kern w:val="32"/>
      <w:sz w:val="32"/>
      <w:szCs w:val="32"/>
    </w:rPr>
  </w:style>
  <w:style w:type="character" w:customStyle="1" w:styleId="BodyTextChar">
    <w:name w:val="Body Text Char"/>
    <w:link w:val="BodyText"/>
    <w:rsid w:val="00826CA5"/>
    <w:rPr>
      <w:szCs w:val="24"/>
    </w:rPr>
  </w:style>
  <w:style w:type="character" w:styleId="Strong">
    <w:name w:val="Strong"/>
    <w:uiPriority w:val="22"/>
    <w:qFormat/>
    <w:rsid w:val="00DB5387"/>
    <w:rPr>
      <w:b/>
      <w:bCs/>
    </w:rPr>
  </w:style>
  <w:style w:type="paragraph" w:styleId="TOC3">
    <w:name w:val="toc 3"/>
    <w:basedOn w:val="Normal"/>
    <w:next w:val="Normal"/>
    <w:autoRedefine/>
    <w:uiPriority w:val="39"/>
    <w:rsid w:val="00214A16"/>
    <w:pPr>
      <w:tabs>
        <w:tab w:val="left" w:pos="1320"/>
        <w:tab w:val="right" w:leader="dot" w:pos="9350"/>
      </w:tabs>
      <w:ind w:left="400"/>
    </w:pPr>
  </w:style>
  <w:style w:type="paragraph" w:customStyle="1" w:styleId="Default">
    <w:name w:val="Default"/>
    <w:rsid w:val="0086627C"/>
    <w:pPr>
      <w:autoSpaceDE w:val="0"/>
      <w:autoSpaceDN w:val="0"/>
      <w:adjustRightInd w:val="0"/>
    </w:pPr>
    <w:rPr>
      <w:color w:val="000000"/>
      <w:sz w:val="24"/>
      <w:szCs w:val="24"/>
      <w:lang w:val="en-GB"/>
    </w:rPr>
  </w:style>
  <w:style w:type="paragraph" w:styleId="ListParagraph">
    <w:name w:val="List Paragraph"/>
    <w:basedOn w:val="Normal"/>
    <w:uiPriority w:val="34"/>
    <w:qFormat/>
    <w:rsid w:val="00976A9E"/>
    <w:pPr>
      <w:ind w:left="720"/>
      <w:contextualSpacing/>
    </w:pPr>
  </w:style>
  <w:style w:type="paragraph" w:styleId="DocumentMap">
    <w:name w:val="Document Map"/>
    <w:basedOn w:val="Normal"/>
    <w:link w:val="DocumentMapChar"/>
    <w:rsid w:val="00B65DC1"/>
    <w:rPr>
      <w:rFonts w:ascii="Times New Roman" w:hAnsi="Times New Roman"/>
      <w:sz w:val="24"/>
    </w:rPr>
  </w:style>
  <w:style w:type="character" w:customStyle="1" w:styleId="DocumentMapChar">
    <w:name w:val="Document Map Char"/>
    <w:basedOn w:val="DefaultParagraphFont"/>
    <w:link w:val="DocumentMap"/>
    <w:rsid w:val="00B65DC1"/>
    <w:rPr>
      <w:sz w:val="24"/>
      <w:szCs w:val="24"/>
    </w:rPr>
  </w:style>
  <w:style w:type="paragraph" w:styleId="Caption">
    <w:name w:val="caption"/>
    <w:basedOn w:val="Normal"/>
    <w:next w:val="Normal"/>
    <w:unhideWhenUsed/>
    <w:qFormat/>
    <w:rsid w:val="00B057C8"/>
    <w:pPr>
      <w:spacing w:after="200"/>
    </w:pPr>
    <w:rPr>
      <w:i/>
      <w:iCs/>
      <w:color w:val="44546A" w:themeColor="text2"/>
      <w:sz w:val="18"/>
      <w:szCs w:val="18"/>
    </w:rPr>
  </w:style>
  <w:style w:type="character" w:customStyle="1" w:styleId="CommentTextChar">
    <w:name w:val="Comment Text Char"/>
    <w:basedOn w:val="DefaultParagraphFont"/>
    <w:link w:val="CommentText"/>
    <w:semiHidden/>
    <w:rsid w:val="00F103D4"/>
    <w:rPr>
      <w:rFonts w:ascii="Arial" w:hAnsi="Arial"/>
      <w:color w:val="000000"/>
      <w:lang w:eastAsia="ja-JP"/>
    </w:rPr>
  </w:style>
  <w:style w:type="paragraph" w:styleId="FootnoteText">
    <w:name w:val="footnote text"/>
    <w:basedOn w:val="Normal"/>
    <w:link w:val="FootnoteTextChar"/>
    <w:unhideWhenUsed/>
    <w:rsid w:val="00FC7192"/>
    <w:rPr>
      <w:sz w:val="24"/>
    </w:rPr>
  </w:style>
  <w:style w:type="character" w:customStyle="1" w:styleId="FootnoteTextChar">
    <w:name w:val="Footnote Text Char"/>
    <w:basedOn w:val="DefaultParagraphFont"/>
    <w:link w:val="FootnoteText"/>
    <w:rsid w:val="00FC7192"/>
    <w:rPr>
      <w:rFonts w:ascii="Arial" w:hAnsi="Arial"/>
      <w:sz w:val="24"/>
      <w:szCs w:val="24"/>
    </w:rPr>
  </w:style>
  <w:style w:type="character" w:styleId="FootnoteReference">
    <w:name w:val="footnote reference"/>
    <w:basedOn w:val="DefaultParagraphFont"/>
    <w:unhideWhenUsed/>
    <w:rsid w:val="00FC7192"/>
    <w:rPr>
      <w:vertAlign w:val="superscript"/>
    </w:rPr>
  </w:style>
  <w:style w:type="paragraph" w:styleId="NormalWeb">
    <w:name w:val="Normal (Web)"/>
    <w:basedOn w:val="Normal"/>
    <w:uiPriority w:val="99"/>
    <w:semiHidden/>
    <w:unhideWhenUsed/>
    <w:rsid w:val="007A2D2F"/>
    <w:pPr>
      <w:spacing w:before="100" w:beforeAutospacing="1" w:after="100" w:afterAutospacing="1"/>
    </w:pPr>
    <w:rPr>
      <w:rFonts w:ascii="Times New Roman" w:hAnsi="Times New Roman"/>
      <w:sz w:val="24"/>
      <w:lang w:val="en-GB" w:eastAsia="en-GB"/>
    </w:rPr>
  </w:style>
  <w:style w:type="character" w:customStyle="1" w:styleId="FooterChar">
    <w:name w:val="Footer Char"/>
    <w:basedOn w:val="DefaultParagraphFont"/>
    <w:link w:val="Footer"/>
    <w:uiPriority w:val="99"/>
    <w:rsid w:val="004F5338"/>
    <w:rPr>
      <w:rFonts w:ascii="Arial" w:hAnsi="Arial"/>
      <w:szCs w:val="24"/>
    </w:rPr>
  </w:style>
  <w:style w:type="table" w:customStyle="1" w:styleId="TableGrid1">
    <w:name w:val="Table Grid1"/>
    <w:basedOn w:val="TableNormal"/>
    <w:next w:val="TableGrid"/>
    <w:uiPriority w:val="59"/>
    <w:rsid w:val="00AD5637"/>
    <w:rPr>
      <w:rFonts w:asciiTheme="minorHAnsi" w:hAnsiTheme="minorHAns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0E72BF"/>
    <w:rPr>
      <w:rFonts w:ascii="Times New Roman" w:hAnsi="Times New Roman"/>
      <w:sz w:val="17"/>
      <w:szCs w:val="17"/>
      <w:lang w:val="en-GB" w:eastAsia="en-GB"/>
    </w:rPr>
  </w:style>
  <w:style w:type="character" w:customStyle="1" w:styleId="apple-converted-space">
    <w:name w:val="apple-converted-space"/>
    <w:basedOn w:val="DefaultParagraphFont"/>
    <w:rsid w:val="000E72BF"/>
  </w:style>
  <w:style w:type="character" w:styleId="Emphasis">
    <w:name w:val="Emphasis"/>
    <w:basedOn w:val="DefaultParagraphFont"/>
    <w:uiPriority w:val="20"/>
    <w:qFormat/>
    <w:rsid w:val="00A11D00"/>
    <w:rPr>
      <w:i/>
      <w:iCs/>
    </w:rPr>
  </w:style>
  <w:style w:type="character" w:customStyle="1" w:styleId="Heading2Char">
    <w:name w:val="Heading 2 Char"/>
    <w:basedOn w:val="DefaultParagraphFont"/>
    <w:link w:val="Heading2"/>
    <w:rsid w:val="002F738E"/>
    <w:rPr>
      <w:rFonts w:ascii="Arial" w:hAnsi="Arial" w:cs="Arial"/>
      <w:b/>
      <w:bCs/>
      <w:i/>
      <w:i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5523">
      <w:bodyDiv w:val="1"/>
      <w:marLeft w:val="0"/>
      <w:marRight w:val="0"/>
      <w:marTop w:val="0"/>
      <w:marBottom w:val="0"/>
      <w:divBdr>
        <w:top w:val="none" w:sz="0" w:space="0" w:color="auto"/>
        <w:left w:val="none" w:sz="0" w:space="0" w:color="auto"/>
        <w:bottom w:val="none" w:sz="0" w:space="0" w:color="auto"/>
        <w:right w:val="none" w:sz="0" w:space="0" w:color="auto"/>
      </w:divBdr>
    </w:div>
    <w:div w:id="74136949">
      <w:bodyDiv w:val="1"/>
      <w:marLeft w:val="0"/>
      <w:marRight w:val="0"/>
      <w:marTop w:val="0"/>
      <w:marBottom w:val="0"/>
      <w:divBdr>
        <w:top w:val="none" w:sz="0" w:space="0" w:color="auto"/>
        <w:left w:val="none" w:sz="0" w:space="0" w:color="auto"/>
        <w:bottom w:val="none" w:sz="0" w:space="0" w:color="auto"/>
        <w:right w:val="none" w:sz="0" w:space="0" w:color="auto"/>
      </w:divBdr>
    </w:div>
    <w:div w:id="76679335">
      <w:bodyDiv w:val="1"/>
      <w:marLeft w:val="0"/>
      <w:marRight w:val="0"/>
      <w:marTop w:val="0"/>
      <w:marBottom w:val="0"/>
      <w:divBdr>
        <w:top w:val="none" w:sz="0" w:space="0" w:color="auto"/>
        <w:left w:val="none" w:sz="0" w:space="0" w:color="auto"/>
        <w:bottom w:val="none" w:sz="0" w:space="0" w:color="auto"/>
        <w:right w:val="none" w:sz="0" w:space="0" w:color="auto"/>
      </w:divBdr>
    </w:div>
    <w:div w:id="164058672">
      <w:bodyDiv w:val="1"/>
      <w:marLeft w:val="0"/>
      <w:marRight w:val="0"/>
      <w:marTop w:val="0"/>
      <w:marBottom w:val="0"/>
      <w:divBdr>
        <w:top w:val="none" w:sz="0" w:space="0" w:color="auto"/>
        <w:left w:val="none" w:sz="0" w:space="0" w:color="auto"/>
        <w:bottom w:val="none" w:sz="0" w:space="0" w:color="auto"/>
        <w:right w:val="none" w:sz="0" w:space="0" w:color="auto"/>
      </w:divBdr>
      <w:divsChild>
        <w:div w:id="133763073">
          <w:marLeft w:val="2246"/>
          <w:marRight w:val="0"/>
          <w:marTop w:val="77"/>
          <w:marBottom w:val="0"/>
          <w:divBdr>
            <w:top w:val="none" w:sz="0" w:space="0" w:color="auto"/>
            <w:left w:val="none" w:sz="0" w:space="0" w:color="auto"/>
            <w:bottom w:val="none" w:sz="0" w:space="0" w:color="auto"/>
            <w:right w:val="none" w:sz="0" w:space="0" w:color="auto"/>
          </w:divBdr>
        </w:div>
        <w:div w:id="400323891">
          <w:marLeft w:val="2246"/>
          <w:marRight w:val="0"/>
          <w:marTop w:val="77"/>
          <w:marBottom w:val="0"/>
          <w:divBdr>
            <w:top w:val="none" w:sz="0" w:space="0" w:color="auto"/>
            <w:left w:val="none" w:sz="0" w:space="0" w:color="auto"/>
            <w:bottom w:val="none" w:sz="0" w:space="0" w:color="auto"/>
            <w:right w:val="none" w:sz="0" w:space="0" w:color="auto"/>
          </w:divBdr>
        </w:div>
        <w:div w:id="1017736070">
          <w:marLeft w:val="2246"/>
          <w:marRight w:val="0"/>
          <w:marTop w:val="77"/>
          <w:marBottom w:val="0"/>
          <w:divBdr>
            <w:top w:val="none" w:sz="0" w:space="0" w:color="auto"/>
            <w:left w:val="none" w:sz="0" w:space="0" w:color="auto"/>
            <w:bottom w:val="none" w:sz="0" w:space="0" w:color="auto"/>
            <w:right w:val="none" w:sz="0" w:space="0" w:color="auto"/>
          </w:divBdr>
        </w:div>
        <w:div w:id="1188442548">
          <w:marLeft w:val="2246"/>
          <w:marRight w:val="0"/>
          <w:marTop w:val="77"/>
          <w:marBottom w:val="0"/>
          <w:divBdr>
            <w:top w:val="none" w:sz="0" w:space="0" w:color="auto"/>
            <w:left w:val="none" w:sz="0" w:space="0" w:color="auto"/>
            <w:bottom w:val="none" w:sz="0" w:space="0" w:color="auto"/>
            <w:right w:val="none" w:sz="0" w:space="0" w:color="auto"/>
          </w:divBdr>
        </w:div>
        <w:div w:id="1322350539">
          <w:marLeft w:val="994"/>
          <w:marRight w:val="0"/>
          <w:marTop w:val="77"/>
          <w:marBottom w:val="0"/>
          <w:divBdr>
            <w:top w:val="none" w:sz="0" w:space="0" w:color="auto"/>
            <w:left w:val="none" w:sz="0" w:space="0" w:color="auto"/>
            <w:bottom w:val="none" w:sz="0" w:space="0" w:color="auto"/>
            <w:right w:val="none" w:sz="0" w:space="0" w:color="auto"/>
          </w:divBdr>
        </w:div>
        <w:div w:id="1818305045">
          <w:marLeft w:val="994"/>
          <w:marRight w:val="0"/>
          <w:marTop w:val="77"/>
          <w:marBottom w:val="0"/>
          <w:divBdr>
            <w:top w:val="none" w:sz="0" w:space="0" w:color="auto"/>
            <w:left w:val="none" w:sz="0" w:space="0" w:color="auto"/>
            <w:bottom w:val="none" w:sz="0" w:space="0" w:color="auto"/>
            <w:right w:val="none" w:sz="0" w:space="0" w:color="auto"/>
          </w:divBdr>
        </w:div>
        <w:div w:id="2081293558">
          <w:marLeft w:val="994"/>
          <w:marRight w:val="0"/>
          <w:marTop w:val="77"/>
          <w:marBottom w:val="0"/>
          <w:divBdr>
            <w:top w:val="none" w:sz="0" w:space="0" w:color="auto"/>
            <w:left w:val="none" w:sz="0" w:space="0" w:color="auto"/>
            <w:bottom w:val="none" w:sz="0" w:space="0" w:color="auto"/>
            <w:right w:val="none" w:sz="0" w:space="0" w:color="auto"/>
          </w:divBdr>
        </w:div>
      </w:divsChild>
    </w:div>
    <w:div w:id="227498575">
      <w:bodyDiv w:val="1"/>
      <w:marLeft w:val="0"/>
      <w:marRight w:val="0"/>
      <w:marTop w:val="0"/>
      <w:marBottom w:val="0"/>
      <w:divBdr>
        <w:top w:val="none" w:sz="0" w:space="0" w:color="auto"/>
        <w:left w:val="none" w:sz="0" w:space="0" w:color="auto"/>
        <w:bottom w:val="none" w:sz="0" w:space="0" w:color="auto"/>
        <w:right w:val="none" w:sz="0" w:space="0" w:color="auto"/>
      </w:divBdr>
    </w:div>
    <w:div w:id="248539326">
      <w:bodyDiv w:val="1"/>
      <w:marLeft w:val="0"/>
      <w:marRight w:val="0"/>
      <w:marTop w:val="0"/>
      <w:marBottom w:val="0"/>
      <w:divBdr>
        <w:top w:val="none" w:sz="0" w:space="0" w:color="auto"/>
        <w:left w:val="none" w:sz="0" w:space="0" w:color="auto"/>
        <w:bottom w:val="none" w:sz="0" w:space="0" w:color="auto"/>
        <w:right w:val="none" w:sz="0" w:space="0" w:color="auto"/>
      </w:divBdr>
    </w:div>
    <w:div w:id="284778177">
      <w:bodyDiv w:val="1"/>
      <w:marLeft w:val="0"/>
      <w:marRight w:val="0"/>
      <w:marTop w:val="0"/>
      <w:marBottom w:val="0"/>
      <w:divBdr>
        <w:top w:val="none" w:sz="0" w:space="0" w:color="auto"/>
        <w:left w:val="none" w:sz="0" w:space="0" w:color="auto"/>
        <w:bottom w:val="none" w:sz="0" w:space="0" w:color="auto"/>
        <w:right w:val="none" w:sz="0" w:space="0" w:color="auto"/>
      </w:divBdr>
    </w:div>
    <w:div w:id="389040947">
      <w:bodyDiv w:val="1"/>
      <w:marLeft w:val="0"/>
      <w:marRight w:val="0"/>
      <w:marTop w:val="0"/>
      <w:marBottom w:val="0"/>
      <w:divBdr>
        <w:top w:val="none" w:sz="0" w:space="0" w:color="auto"/>
        <w:left w:val="none" w:sz="0" w:space="0" w:color="auto"/>
        <w:bottom w:val="none" w:sz="0" w:space="0" w:color="auto"/>
        <w:right w:val="none" w:sz="0" w:space="0" w:color="auto"/>
      </w:divBdr>
    </w:div>
    <w:div w:id="408619376">
      <w:bodyDiv w:val="1"/>
      <w:marLeft w:val="0"/>
      <w:marRight w:val="0"/>
      <w:marTop w:val="0"/>
      <w:marBottom w:val="0"/>
      <w:divBdr>
        <w:top w:val="none" w:sz="0" w:space="0" w:color="auto"/>
        <w:left w:val="none" w:sz="0" w:space="0" w:color="auto"/>
        <w:bottom w:val="none" w:sz="0" w:space="0" w:color="auto"/>
        <w:right w:val="none" w:sz="0" w:space="0" w:color="auto"/>
      </w:divBdr>
      <w:divsChild>
        <w:div w:id="1753627903">
          <w:marLeft w:val="446"/>
          <w:marRight w:val="0"/>
          <w:marTop w:val="0"/>
          <w:marBottom w:val="120"/>
          <w:divBdr>
            <w:top w:val="none" w:sz="0" w:space="0" w:color="auto"/>
            <w:left w:val="none" w:sz="0" w:space="0" w:color="auto"/>
            <w:bottom w:val="none" w:sz="0" w:space="0" w:color="auto"/>
            <w:right w:val="none" w:sz="0" w:space="0" w:color="auto"/>
          </w:divBdr>
        </w:div>
      </w:divsChild>
    </w:div>
    <w:div w:id="518588460">
      <w:bodyDiv w:val="1"/>
      <w:marLeft w:val="0"/>
      <w:marRight w:val="0"/>
      <w:marTop w:val="0"/>
      <w:marBottom w:val="0"/>
      <w:divBdr>
        <w:top w:val="none" w:sz="0" w:space="0" w:color="auto"/>
        <w:left w:val="none" w:sz="0" w:space="0" w:color="auto"/>
        <w:bottom w:val="none" w:sz="0" w:space="0" w:color="auto"/>
        <w:right w:val="none" w:sz="0" w:space="0" w:color="auto"/>
      </w:divBdr>
    </w:div>
    <w:div w:id="525212098">
      <w:bodyDiv w:val="1"/>
      <w:marLeft w:val="0"/>
      <w:marRight w:val="0"/>
      <w:marTop w:val="0"/>
      <w:marBottom w:val="0"/>
      <w:divBdr>
        <w:top w:val="none" w:sz="0" w:space="0" w:color="auto"/>
        <w:left w:val="none" w:sz="0" w:space="0" w:color="auto"/>
        <w:bottom w:val="none" w:sz="0" w:space="0" w:color="auto"/>
        <w:right w:val="none" w:sz="0" w:space="0" w:color="auto"/>
      </w:divBdr>
    </w:div>
    <w:div w:id="669602448">
      <w:bodyDiv w:val="1"/>
      <w:marLeft w:val="0"/>
      <w:marRight w:val="0"/>
      <w:marTop w:val="0"/>
      <w:marBottom w:val="0"/>
      <w:divBdr>
        <w:top w:val="none" w:sz="0" w:space="0" w:color="auto"/>
        <w:left w:val="none" w:sz="0" w:space="0" w:color="auto"/>
        <w:bottom w:val="none" w:sz="0" w:space="0" w:color="auto"/>
        <w:right w:val="none" w:sz="0" w:space="0" w:color="auto"/>
      </w:divBdr>
    </w:div>
    <w:div w:id="693961865">
      <w:bodyDiv w:val="1"/>
      <w:marLeft w:val="0"/>
      <w:marRight w:val="0"/>
      <w:marTop w:val="0"/>
      <w:marBottom w:val="0"/>
      <w:divBdr>
        <w:top w:val="none" w:sz="0" w:space="0" w:color="auto"/>
        <w:left w:val="none" w:sz="0" w:space="0" w:color="auto"/>
        <w:bottom w:val="none" w:sz="0" w:space="0" w:color="auto"/>
        <w:right w:val="none" w:sz="0" w:space="0" w:color="auto"/>
      </w:divBdr>
    </w:div>
    <w:div w:id="694622006">
      <w:bodyDiv w:val="1"/>
      <w:marLeft w:val="0"/>
      <w:marRight w:val="0"/>
      <w:marTop w:val="0"/>
      <w:marBottom w:val="0"/>
      <w:divBdr>
        <w:top w:val="none" w:sz="0" w:space="0" w:color="auto"/>
        <w:left w:val="none" w:sz="0" w:space="0" w:color="auto"/>
        <w:bottom w:val="none" w:sz="0" w:space="0" w:color="auto"/>
        <w:right w:val="none" w:sz="0" w:space="0" w:color="auto"/>
      </w:divBdr>
    </w:div>
    <w:div w:id="767580011">
      <w:bodyDiv w:val="1"/>
      <w:marLeft w:val="0"/>
      <w:marRight w:val="0"/>
      <w:marTop w:val="0"/>
      <w:marBottom w:val="0"/>
      <w:divBdr>
        <w:top w:val="none" w:sz="0" w:space="0" w:color="auto"/>
        <w:left w:val="none" w:sz="0" w:space="0" w:color="auto"/>
        <w:bottom w:val="none" w:sz="0" w:space="0" w:color="auto"/>
        <w:right w:val="none" w:sz="0" w:space="0" w:color="auto"/>
      </w:divBdr>
    </w:div>
    <w:div w:id="782573592">
      <w:bodyDiv w:val="1"/>
      <w:marLeft w:val="0"/>
      <w:marRight w:val="0"/>
      <w:marTop w:val="0"/>
      <w:marBottom w:val="0"/>
      <w:divBdr>
        <w:top w:val="none" w:sz="0" w:space="0" w:color="auto"/>
        <w:left w:val="none" w:sz="0" w:space="0" w:color="auto"/>
        <w:bottom w:val="none" w:sz="0" w:space="0" w:color="auto"/>
        <w:right w:val="none" w:sz="0" w:space="0" w:color="auto"/>
      </w:divBdr>
    </w:div>
    <w:div w:id="858155182">
      <w:bodyDiv w:val="1"/>
      <w:marLeft w:val="0"/>
      <w:marRight w:val="0"/>
      <w:marTop w:val="0"/>
      <w:marBottom w:val="0"/>
      <w:divBdr>
        <w:top w:val="none" w:sz="0" w:space="0" w:color="auto"/>
        <w:left w:val="none" w:sz="0" w:space="0" w:color="auto"/>
        <w:bottom w:val="none" w:sz="0" w:space="0" w:color="auto"/>
        <w:right w:val="none" w:sz="0" w:space="0" w:color="auto"/>
      </w:divBdr>
    </w:div>
    <w:div w:id="870798795">
      <w:bodyDiv w:val="1"/>
      <w:marLeft w:val="0"/>
      <w:marRight w:val="0"/>
      <w:marTop w:val="0"/>
      <w:marBottom w:val="0"/>
      <w:divBdr>
        <w:top w:val="none" w:sz="0" w:space="0" w:color="auto"/>
        <w:left w:val="none" w:sz="0" w:space="0" w:color="auto"/>
        <w:bottom w:val="none" w:sz="0" w:space="0" w:color="auto"/>
        <w:right w:val="none" w:sz="0" w:space="0" w:color="auto"/>
      </w:divBdr>
    </w:div>
    <w:div w:id="883905557">
      <w:bodyDiv w:val="1"/>
      <w:marLeft w:val="0"/>
      <w:marRight w:val="0"/>
      <w:marTop w:val="0"/>
      <w:marBottom w:val="0"/>
      <w:divBdr>
        <w:top w:val="none" w:sz="0" w:space="0" w:color="auto"/>
        <w:left w:val="none" w:sz="0" w:space="0" w:color="auto"/>
        <w:bottom w:val="none" w:sz="0" w:space="0" w:color="auto"/>
        <w:right w:val="none" w:sz="0" w:space="0" w:color="auto"/>
      </w:divBdr>
    </w:div>
    <w:div w:id="910314228">
      <w:bodyDiv w:val="1"/>
      <w:marLeft w:val="0"/>
      <w:marRight w:val="0"/>
      <w:marTop w:val="0"/>
      <w:marBottom w:val="0"/>
      <w:divBdr>
        <w:top w:val="none" w:sz="0" w:space="0" w:color="auto"/>
        <w:left w:val="none" w:sz="0" w:space="0" w:color="auto"/>
        <w:bottom w:val="none" w:sz="0" w:space="0" w:color="auto"/>
        <w:right w:val="none" w:sz="0" w:space="0" w:color="auto"/>
      </w:divBdr>
    </w:div>
    <w:div w:id="995451989">
      <w:bodyDiv w:val="1"/>
      <w:marLeft w:val="0"/>
      <w:marRight w:val="0"/>
      <w:marTop w:val="0"/>
      <w:marBottom w:val="0"/>
      <w:divBdr>
        <w:top w:val="none" w:sz="0" w:space="0" w:color="auto"/>
        <w:left w:val="none" w:sz="0" w:space="0" w:color="auto"/>
        <w:bottom w:val="none" w:sz="0" w:space="0" w:color="auto"/>
        <w:right w:val="none" w:sz="0" w:space="0" w:color="auto"/>
      </w:divBdr>
    </w:div>
    <w:div w:id="1005009998">
      <w:bodyDiv w:val="1"/>
      <w:marLeft w:val="0"/>
      <w:marRight w:val="0"/>
      <w:marTop w:val="0"/>
      <w:marBottom w:val="0"/>
      <w:divBdr>
        <w:top w:val="none" w:sz="0" w:space="0" w:color="auto"/>
        <w:left w:val="none" w:sz="0" w:space="0" w:color="auto"/>
        <w:bottom w:val="none" w:sz="0" w:space="0" w:color="auto"/>
        <w:right w:val="none" w:sz="0" w:space="0" w:color="auto"/>
      </w:divBdr>
    </w:div>
    <w:div w:id="1013651680">
      <w:bodyDiv w:val="1"/>
      <w:marLeft w:val="0"/>
      <w:marRight w:val="0"/>
      <w:marTop w:val="0"/>
      <w:marBottom w:val="0"/>
      <w:divBdr>
        <w:top w:val="none" w:sz="0" w:space="0" w:color="auto"/>
        <w:left w:val="none" w:sz="0" w:space="0" w:color="auto"/>
        <w:bottom w:val="none" w:sz="0" w:space="0" w:color="auto"/>
        <w:right w:val="none" w:sz="0" w:space="0" w:color="auto"/>
      </w:divBdr>
    </w:div>
    <w:div w:id="1029406330">
      <w:bodyDiv w:val="1"/>
      <w:marLeft w:val="0"/>
      <w:marRight w:val="0"/>
      <w:marTop w:val="0"/>
      <w:marBottom w:val="0"/>
      <w:divBdr>
        <w:top w:val="none" w:sz="0" w:space="0" w:color="auto"/>
        <w:left w:val="none" w:sz="0" w:space="0" w:color="auto"/>
        <w:bottom w:val="none" w:sz="0" w:space="0" w:color="auto"/>
        <w:right w:val="none" w:sz="0" w:space="0" w:color="auto"/>
      </w:divBdr>
    </w:div>
    <w:div w:id="1074819798">
      <w:bodyDiv w:val="1"/>
      <w:marLeft w:val="0"/>
      <w:marRight w:val="0"/>
      <w:marTop w:val="0"/>
      <w:marBottom w:val="0"/>
      <w:divBdr>
        <w:top w:val="none" w:sz="0" w:space="0" w:color="auto"/>
        <w:left w:val="none" w:sz="0" w:space="0" w:color="auto"/>
        <w:bottom w:val="none" w:sz="0" w:space="0" w:color="auto"/>
        <w:right w:val="none" w:sz="0" w:space="0" w:color="auto"/>
      </w:divBdr>
    </w:div>
    <w:div w:id="1144465305">
      <w:bodyDiv w:val="1"/>
      <w:marLeft w:val="0"/>
      <w:marRight w:val="0"/>
      <w:marTop w:val="0"/>
      <w:marBottom w:val="0"/>
      <w:divBdr>
        <w:top w:val="none" w:sz="0" w:space="0" w:color="auto"/>
        <w:left w:val="none" w:sz="0" w:space="0" w:color="auto"/>
        <w:bottom w:val="none" w:sz="0" w:space="0" w:color="auto"/>
        <w:right w:val="none" w:sz="0" w:space="0" w:color="auto"/>
      </w:divBdr>
      <w:divsChild>
        <w:div w:id="10761231">
          <w:marLeft w:val="2246"/>
          <w:marRight w:val="0"/>
          <w:marTop w:val="77"/>
          <w:marBottom w:val="0"/>
          <w:divBdr>
            <w:top w:val="none" w:sz="0" w:space="0" w:color="auto"/>
            <w:left w:val="none" w:sz="0" w:space="0" w:color="auto"/>
            <w:bottom w:val="none" w:sz="0" w:space="0" w:color="auto"/>
            <w:right w:val="none" w:sz="0" w:space="0" w:color="auto"/>
          </w:divBdr>
        </w:div>
        <w:div w:id="788818686">
          <w:marLeft w:val="2246"/>
          <w:marRight w:val="0"/>
          <w:marTop w:val="77"/>
          <w:marBottom w:val="0"/>
          <w:divBdr>
            <w:top w:val="none" w:sz="0" w:space="0" w:color="auto"/>
            <w:left w:val="none" w:sz="0" w:space="0" w:color="auto"/>
            <w:bottom w:val="none" w:sz="0" w:space="0" w:color="auto"/>
            <w:right w:val="none" w:sz="0" w:space="0" w:color="auto"/>
          </w:divBdr>
        </w:div>
        <w:div w:id="992566688">
          <w:marLeft w:val="994"/>
          <w:marRight w:val="0"/>
          <w:marTop w:val="77"/>
          <w:marBottom w:val="0"/>
          <w:divBdr>
            <w:top w:val="none" w:sz="0" w:space="0" w:color="auto"/>
            <w:left w:val="none" w:sz="0" w:space="0" w:color="auto"/>
            <w:bottom w:val="none" w:sz="0" w:space="0" w:color="auto"/>
            <w:right w:val="none" w:sz="0" w:space="0" w:color="auto"/>
          </w:divBdr>
        </w:div>
        <w:div w:id="1044063212">
          <w:marLeft w:val="2246"/>
          <w:marRight w:val="0"/>
          <w:marTop w:val="77"/>
          <w:marBottom w:val="0"/>
          <w:divBdr>
            <w:top w:val="none" w:sz="0" w:space="0" w:color="auto"/>
            <w:left w:val="none" w:sz="0" w:space="0" w:color="auto"/>
            <w:bottom w:val="none" w:sz="0" w:space="0" w:color="auto"/>
            <w:right w:val="none" w:sz="0" w:space="0" w:color="auto"/>
          </w:divBdr>
        </w:div>
        <w:div w:id="1498233455">
          <w:marLeft w:val="994"/>
          <w:marRight w:val="0"/>
          <w:marTop w:val="77"/>
          <w:marBottom w:val="0"/>
          <w:divBdr>
            <w:top w:val="none" w:sz="0" w:space="0" w:color="auto"/>
            <w:left w:val="none" w:sz="0" w:space="0" w:color="auto"/>
            <w:bottom w:val="none" w:sz="0" w:space="0" w:color="auto"/>
            <w:right w:val="none" w:sz="0" w:space="0" w:color="auto"/>
          </w:divBdr>
        </w:div>
        <w:div w:id="1625497778">
          <w:marLeft w:val="2246"/>
          <w:marRight w:val="0"/>
          <w:marTop w:val="77"/>
          <w:marBottom w:val="0"/>
          <w:divBdr>
            <w:top w:val="none" w:sz="0" w:space="0" w:color="auto"/>
            <w:left w:val="none" w:sz="0" w:space="0" w:color="auto"/>
            <w:bottom w:val="none" w:sz="0" w:space="0" w:color="auto"/>
            <w:right w:val="none" w:sz="0" w:space="0" w:color="auto"/>
          </w:divBdr>
        </w:div>
        <w:div w:id="1959986318">
          <w:marLeft w:val="994"/>
          <w:marRight w:val="0"/>
          <w:marTop w:val="77"/>
          <w:marBottom w:val="0"/>
          <w:divBdr>
            <w:top w:val="none" w:sz="0" w:space="0" w:color="auto"/>
            <w:left w:val="none" w:sz="0" w:space="0" w:color="auto"/>
            <w:bottom w:val="none" w:sz="0" w:space="0" w:color="auto"/>
            <w:right w:val="none" w:sz="0" w:space="0" w:color="auto"/>
          </w:divBdr>
        </w:div>
      </w:divsChild>
    </w:div>
    <w:div w:id="1161240509">
      <w:bodyDiv w:val="1"/>
      <w:marLeft w:val="0"/>
      <w:marRight w:val="0"/>
      <w:marTop w:val="0"/>
      <w:marBottom w:val="0"/>
      <w:divBdr>
        <w:top w:val="none" w:sz="0" w:space="0" w:color="auto"/>
        <w:left w:val="none" w:sz="0" w:space="0" w:color="auto"/>
        <w:bottom w:val="none" w:sz="0" w:space="0" w:color="auto"/>
        <w:right w:val="none" w:sz="0" w:space="0" w:color="auto"/>
      </w:divBdr>
      <w:divsChild>
        <w:div w:id="399867404">
          <w:marLeft w:val="1166"/>
          <w:marRight w:val="0"/>
          <w:marTop w:val="100"/>
          <w:marBottom w:val="60"/>
          <w:divBdr>
            <w:top w:val="none" w:sz="0" w:space="0" w:color="auto"/>
            <w:left w:val="none" w:sz="0" w:space="0" w:color="auto"/>
            <w:bottom w:val="none" w:sz="0" w:space="0" w:color="auto"/>
            <w:right w:val="none" w:sz="0" w:space="0" w:color="auto"/>
          </w:divBdr>
        </w:div>
        <w:div w:id="784420748">
          <w:marLeft w:val="720"/>
          <w:marRight w:val="0"/>
          <w:marTop w:val="280"/>
          <w:marBottom w:val="120"/>
          <w:divBdr>
            <w:top w:val="none" w:sz="0" w:space="0" w:color="auto"/>
            <w:left w:val="none" w:sz="0" w:space="0" w:color="auto"/>
            <w:bottom w:val="none" w:sz="0" w:space="0" w:color="auto"/>
            <w:right w:val="none" w:sz="0" w:space="0" w:color="auto"/>
          </w:divBdr>
        </w:div>
        <w:div w:id="1028718685">
          <w:marLeft w:val="720"/>
          <w:marRight w:val="0"/>
          <w:marTop w:val="280"/>
          <w:marBottom w:val="120"/>
          <w:divBdr>
            <w:top w:val="none" w:sz="0" w:space="0" w:color="auto"/>
            <w:left w:val="none" w:sz="0" w:space="0" w:color="auto"/>
            <w:bottom w:val="none" w:sz="0" w:space="0" w:color="auto"/>
            <w:right w:val="none" w:sz="0" w:space="0" w:color="auto"/>
          </w:divBdr>
        </w:div>
        <w:div w:id="1831363063">
          <w:marLeft w:val="0"/>
          <w:marRight w:val="0"/>
          <w:marTop w:val="280"/>
          <w:marBottom w:val="120"/>
          <w:divBdr>
            <w:top w:val="none" w:sz="0" w:space="0" w:color="auto"/>
            <w:left w:val="none" w:sz="0" w:space="0" w:color="auto"/>
            <w:bottom w:val="none" w:sz="0" w:space="0" w:color="auto"/>
            <w:right w:val="none" w:sz="0" w:space="0" w:color="auto"/>
          </w:divBdr>
        </w:div>
        <w:div w:id="1909876968">
          <w:marLeft w:val="1166"/>
          <w:marRight w:val="0"/>
          <w:marTop w:val="100"/>
          <w:marBottom w:val="60"/>
          <w:divBdr>
            <w:top w:val="none" w:sz="0" w:space="0" w:color="auto"/>
            <w:left w:val="none" w:sz="0" w:space="0" w:color="auto"/>
            <w:bottom w:val="none" w:sz="0" w:space="0" w:color="auto"/>
            <w:right w:val="none" w:sz="0" w:space="0" w:color="auto"/>
          </w:divBdr>
        </w:div>
        <w:div w:id="2100326958">
          <w:marLeft w:val="1166"/>
          <w:marRight w:val="0"/>
          <w:marTop w:val="100"/>
          <w:marBottom w:val="60"/>
          <w:divBdr>
            <w:top w:val="none" w:sz="0" w:space="0" w:color="auto"/>
            <w:left w:val="none" w:sz="0" w:space="0" w:color="auto"/>
            <w:bottom w:val="none" w:sz="0" w:space="0" w:color="auto"/>
            <w:right w:val="none" w:sz="0" w:space="0" w:color="auto"/>
          </w:divBdr>
        </w:div>
      </w:divsChild>
    </w:div>
    <w:div w:id="1230110941">
      <w:bodyDiv w:val="1"/>
      <w:marLeft w:val="0"/>
      <w:marRight w:val="0"/>
      <w:marTop w:val="0"/>
      <w:marBottom w:val="0"/>
      <w:divBdr>
        <w:top w:val="none" w:sz="0" w:space="0" w:color="auto"/>
        <w:left w:val="none" w:sz="0" w:space="0" w:color="auto"/>
        <w:bottom w:val="none" w:sz="0" w:space="0" w:color="auto"/>
        <w:right w:val="none" w:sz="0" w:space="0" w:color="auto"/>
      </w:divBdr>
    </w:div>
    <w:div w:id="1247419642">
      <w:bodyDiv w:val="1"/>
      <w:marLeft w:val="0"/>
      <w:marRight w:val="0"/>
      <w:marTop w:val="0"/>
      <w:marBottom w:val="0"/>
      <w:divBdr>
        <w:top w:val="none" w:sz="0" w:space="0" w:color="auto"/>
        <w:left w:val="none" w:sz="0" w:space="0" w:color="auto"/>
        <w:bottom w:val="none" w:sz="0" w:space="0" w:color="auto"/>
        <w:right w:val="none" w:sz="0" w:space="0" w:color="auto"/>
      </w:divBdr>
    </w:div>
    <w:div w:id="1254776791">
      <w:bodyDiv w:val="1"/>
      <w:marLeft w:val="0"/>
      <w:marRight w:val="0"/>
      <w:marTop w:val="0"/>
      <w:marBottom w:val="0"/>
      <w:divBdr>
        <w:top w:val="none" w:sz="0" w:space="0" w:color="auto"/>
        <w:left w:val="none" w:sz="0" w:space="0" w:color="auto"/>
        <w:bottom w:val="none" w:sz="0" w:space="0" w:color="auto"/>
        <w:right w:val="none" w:sz="0" w:space="0" w:color="auto"/>
      </w:divBdr>
      <w:divsChild>
        <w:div w:id="366443450">
          <w:marLeft w:val="2606"/>
          <w:marRight w:val="0"/>
          <w:marTop w:val="100"/>
          <w:marBottom w:val="60"/>
          <w:divBdr>
            <w:top w:val="none" w:sz="0" w:space="0" w:color="auto"/>
            <w:left w:val="none" w:sz="0" w:space="0" w:color="auto"/>
            <w:bottom w:val="none" w:sz="0" w:space="0" w:color="auto"/>
            <w:right w:val="none" w:sz="0" w:space="0" w:color="auto"/>
          </w:divBdr>
        </w:div>
        <w:div w:id="972831806">
          <w:marLeft w:val="1886"/>
          <w:marRight w:val="0"/>
          <w:marTop w:val="100"/>
          <w:marBottom w:val="60"/>
          <w:divBdr>
            <w:top w:val="none" w:sz="0" w:space="0" w:color="auto"/>
            <w:left w:val="none" w:sz="0" w:space="0" w:color="auto"/>
            <w:bottom w:val="none" w:sz="0" w:space="0" w:color="auto"/>
            <w:right w:val="none" w:sz="0" w:space="0" w:color="auto"/>
          </w:divBdr>
        </w:div>
      </w:divsChild>
    </w:div>
    <w:div w:id="1319310758">
      <w:bodyDiv w:val="1"/>
      <w:marLeft w:val="0"/>
      <w:marRight w:val="0"/>
      <w:marTop w:val="0"/>
      <w:marBottom w:val="0"/>
      <w:divBdr>
        <w:top w:val="none" w:sz="0" w:space="0" w:color="auto"/>
        <w:left w:val="none" w:sz="0" w:space="0" w:color="auto"/>
        <w:bottom w:val="none" w:sz="0" w:space="0" w:color="auto"/>
        <w:right w:val="none" w:sz="0" w:space="0" w:color="auto"/>
      </w:divBdr>
    </w:div>
    <w:div w:id="1363827879">
      <w:bodyDiv w:val="1"/>
      <w:marLeft w:val="0"/>
      <w:marRight w:val="0"/>
      <w:marTop w:val="0"/>
      <w:marBottom w:val="0"/>
      <w:divBdr>
        <w:top w:val="none" w:sz="0" w:space="0" w:color="auto"/>
        <w:left w:val="none" w:sz="0" w:space="0" w:color="auto"/>
        <w:bottom w:val="none" w:sz="0" w:space="0" w:color="auto"/>
        <w:right w:val="none" w:sz="0" w:space="0" w:color="auto"/>
      </w:divBdr>
    </w:div>
    <w:div w:id="1385593949">
      <w:bodyDiv w:val="1"/>
      <w:marLeft w:val="0"/>
      <w:marRight w:val="0"/>
      <w:marTop w:val="0"/>
      <w:marBottom w:val="0"/>
      <w:divBdr>
        <w:top w:val="none" w:sz="0" w:space="0" w:color="auto"/>
        <w:left w:val="none" w:sz="0" w:space="0" w:color="auto"/>
        <w:bottom w:val="none" w:sz="0" w:space="0" w:color="auto"/>
        <w:right w:val="none" w:sz="0" w:space="0" w:color="auto"/>
      </w:divBdr>
    </w:div>
    <w:div w:id="1401291548">
      <w:bodyDiv w:val="1"/>
      <w:marLeft w:val="0"/>
      <w:marRight w:val="0"/>
      <w:marTop w:val="0"/>
      <w:marBottom w:val="0"/>
      <w:divBdr>
        <w:top w:val="none" w:sz="0" w:space="0" w:color="auto"/>
        <w:left w:val="none" w:sz="0" w:space="0" w:color="auto"/>
        <w:bottom w:val="none" w:sz="0" w:space="0" w:color="auto"/>
        <w:right w:val="none" w:sz="0" w:space="0" w:color="auto"/>
      </w:divBdr>
    </w:div>
    <w:div w:id="1409883859">
      <w:bodyDiv w:val="1"/>
      <w:marLeft w:val="0"/>
      <w:marRight w:val="0"/>
      <w:marTop w:val="0"/>
      <w:marBottom w:val="0"/>
      <w:divBdr>
        <w:top w:val="none" w:sz="0" w:space="0" w:color="auto"/>
        <w:left w:val="none" w:sz="0" w:space="0" w:color="auto"/>
        <w:bottom w:val="none" w:sz="0" w:space="0" w:color="auto"/>
        <w:right w:val="none" w:sz="0" w:space="0" w:color="auto"/>
      </w:divBdr>
    </w:div>
    <w:div w:id="1414401461">
      <w:bodyDiv w:val="1"/>
      <w:marLeft w:val="0"/>
      <w:marRight w:val="0"/>
      <w:marTop w:val="0"/>
      <w:marBottom w:val="0"/>
      <w:divBdr>
        <w:top w:val="none" w:sz="0" w:space="0" w:color="auto"/>
        <w:left w:val="none" w:sz="0" w:space="0" w:color="auto"/>
        <w:bottom w:val="none" w:sz="0" w:space="0" w:color="auto"/>
        <w:right w:val="none" w:sz="0" w:space="0" w:color="auto"/>
      </w:divBdr>
    </w:div>
    <w:div w:id="1508521986">
      <w:bodyDiv w:val="1"/>
      <w:marLeft w:val="0"/>
      <w:marRight w:val="0"/>
      <w:marTop w:val="0"/>
      <w:marBottom w:val="0"/>
      <w:divBdr>
        <w:top w:val="none" w:sz="0" w:space="0" w:color="auto"/>
        <w:left w:val="none" w:sz="0" w:space="0" w:color="auto"/>
        <w:bottom w:val="none" w:sz="0" w:space="0" w:color="auto"/>
        <w:right w:val="none" w:sz="0" w:space="0" w:color="auto"/>
      </w:divBdr>
    </w:div>
    <w:div w:id="1516185218">
      <w:bodyDiv w:val="1"/>
      <w:marLeft w:val="0"/>
      <w:marRight w:val="0"/>
      <w:marTop w:val="0"/>
      <w:marBottom w:val="0"/>
      <w:divBdr>
        <w:top w:val="none" w:sz="0" w:space="0" w:color="auto"/>
        <w:left w:val="none" w:sz="0" w:space="0" w:color="auto"/>
        <w:bottom w:val="none" w:sz="0" w:space="0" w:color="auto"/>
        <w:right w:val="none" w:sz="0" w:space="0" w:color="auto"/>
      </w:divBdr>
    </w:div>
    <w:div w:id="1520122376">
      <w:bodyDiv w:val="1"/>
      <w:marLeft w:val="0"/>
      <w:marRight w:val="0"/>
      <w:marTop w:val="0"/>
      <w:marBottom w:val="0"/>
      <w:divBdr>
        <w:top w:val="none" w:sz="0" w:space="0" w:color="auto"/>
        <w:left w:val="none" w:sz="0" w:space="0" w:color="auto"/>
        <w:bottom w:val="none" w:sz="0" w:space="0" w:color="auto"/>
        <w:right w:val="none" w:sz="0" w:space="0" w:color="auto"/>
      </w:divBdr>
    </w:div>
    <w:div w:id="1531063337">
      <w:bodyDiv w:val="1"/>
      <w:marLeft w:val="0"/>
      <w:marRight w:val="0"/>
      <w:marTop w:val="0"/>
      <w:marBottom w:val="0"/>
      <w:divBdr>
        <w:top w:val="none" w:sz="0" w:space="0" w:color="auto"/>
        <w:left w:val="none" w:sz="0" w:space="0" w:color="auto"/>
        <w:bottom w:val="none" w:sz="0" w:space="0" w:color="auto"/>
        <w:right w:val="none" w:sz="0" w:space="0" w:color="auto"/>
      </w:divBdr>
    </w:div>
    <w:div w:id="1540313594">
      <w:bodyDiv w:val="1"/>
      <w:marLeft w:val="0"/>
      <w:marRight w:val="0"/>
      <w:marTop w:val="0"/>
      <w:marBottom w:val="0"/>
      <w:divBdr>
        <w:top w:val="none" w:sz="0" w:space="0" w:color="auto"/>
        <w:left w:val="none" w:sz="0" w:space="0" w:color="auto"/>
        <w:bottom w:val="none" w:sz="0" w:space="0" w:color="auto"/>
        <w:right w:val="none" w:sz="0" w:space="0" w:color="auto"/>
      </w:divBdr>
    </w:div>
    <w:div w:id="1631282791">
      <w:bodyDiv w:val="1"/>
      <w:marLeft w:val="0"/>
      <w:marRight w:val="0"/>
      <w:marTop w:val="0"/>
      <w:marBottom w:val="0"/>
      <w:divBdr>
        <w:top w:val="none" w:sz="0" w:space="0" w:color="auto"/>
        <w:left w:val="none" w:sz="0" w:space="0" w:color="auto"/>
        <w:bottom w:val="none" w:sz="0" w:space="0" w:color="auto"/>
        <w:right w:val="none" w:sz="0" w:space="0" w:color="auto"/>
      </w:divBdr>
    </w:div>
    <w:div w:id="1654288046">
      <w:bodyDiv w:val="1"/>
      <w:marLeft w:val="0"/>
      <w:marRight w:val="0"/>
      <w:marTop w:val="0"/>
      <w:marBottom w:val="0"/>
      <w:divBdr>
        <w:top w:val="none" w:sz="0" w:space="0" w:color="auto"/>
        <w:left w:val="none" w:sz="0" w:space="0" w:color="auto"/>
        <w:bottom w:val="none" w:sz="0" w:space="0" w:color="auto"/>
        <w:right w:val="none" w:sz="0" w:space="0" w:color="auto"/>
      </w:divBdr>
    </w:div>
    <w:div w:id="1693337681">
      <w:bodyDiv w:val="1"/>
      <w:marLeft w:val="0"/>
      <w:marRight w:val="0"/>
      <w:marTop w:val="0"/>
      <w:marBottom w:val="0"/>
      <w:divBdr>
        <w:top w:val="none" w:sz="0" w:space="0" w:color="auto"/>
        <w:left w:val="none" w:sz="0" w:space="0" w:color="auto"/>
        <w:bottom w:val="none" w:sz="0" w:space="0" w:color="auto"/>
        <w:right w:val="none" w:sz="0" w:space="0" w:color="auto"/>
      </w:divBdr>
    </w:div>
    <w:div w:id="1706558969">
      <w:bodyDiv w:val="1"/>
      <w:marLeft w:val="0"/>
      <w:marRight w:val="0"/>
      <w:marTop w:val="0"/>
      <w:marBottom w:val="0"/>
      <w:divBdr>
        <w:top w:val="none" w:sz="0" w:space="0" w:color="auto"/>
        <w:left w:val="none" w:sz="0" w:space="0" w:color="auto"/>
        <w:bottom w:val="none" w:sz="0" w:space="0" w:color="auto"/>
        <w:right w:val="none" w:sz="0" w:space="0" w:color="auto"/>
      </w:divBdr>
    </w:div>
    <w:div w:id="1759714507">
      <w:bodyDiv w:val="1"/>
      <w:marLeft w:val="0"/>
      <w:marRight w:val="0"/>
      <w:marTop w:val="0"/>
      <w:marBottom w:val="0"/>
      <w:divBdr>
        <w:top w:val="none" w:sz="0" w:space="0" w:color="auto"/>
        <w:left w:val="none" w:sz="0" w:space="0" w:color="auto"/>
        <w:bottom w:val="none" w:sz="0" w:space="0" w:color="auto"/>
        <w:right w:val="none" w:sz="0" w:space="0" w:color="auto"/>
      </w:divBdr>
    </w:div>
    <w:div w:id="1791625119">
      <w:bodyDiv w:val="1"/>
      <w:marLeft w:val="0"/>
      <w:marRight w:val="0"/>
      <w:marTop w:val="0"/>
      <w:marBottom w:val="0"/>
      <w:divBdr>
        <w:top w:val="none" w:sz="0" w:space="0" w:color="auto"/>
        <w:left w:val="none" w:sz="0" w:space="0" w:color="auto"/>
        <w:bottom w:val="none" w:sz="0" w:space="0" w:color="auto"/>
        <w:right w:val="none" w:sz="0" w:space="0" w:color="auto"/>
      </w:divBdr>
    </w:div>
    <w:div w:id="1830704825">
      <w:bodyDiv w:val="1"/>
      <w:marLeft w:val="0"/>
      <w:marRight w:val="0"/>
      <w:marTop w:val="0"/>
      <w:marBottom w:val="0"/>
      <w:divBdr>
        <w:top w:val="none" w:sz="0" w:space="0" w:color="auto"/>
        <w:left w:val="none" w:sz="0" w:space="0" w:color="auto"/>
        <w:bottom w:val="none" w:sz="0" w:space="0" w:color="auto"/>
        <w:right w:val="none" w:sz="0" w:space="0" w:color="auto"/>
      </w:divBdr>
    </w:div>
    <w:div w:id="1847475297">
      <w:bodyDiv w:val="1"/>
      <w:marLeft w:val="0"/>
      <w:marRight w:val="0"/>
      <w:marTop w:val="0"/>
      <w:marBottom w:val="0"/>
      <w:divBdr>
        <w:top w:val="none" w:sz="0" w:space="0" w:color="auto"/>
        <w:left w:val="none" w:sz="0" w:space="0" w:color="auto"/>
        <w:bottom w:val="none" w:sz="0" w:space="0" w:color="auto"/>
        <w:right w:val="none" w:sz="0" w:space="0" w:color="auto"/>
      </w:divBdr>
    </w:div>
    <w:div w:id="1853496210">
      <w:bodyDiv w:val="1"/>
      <w:marLeft w:val="0"/>
      <w:marRight w:val="0"/>
      <w:marTop w:val="0"/>
      <w:marBottom w:val="0"/>
      <w:divBdr>
        <w:top w:val="none" w:sz="0" w:space="0" w:color="auto"/>
        <w:left w:val="none" w:sz="0" w:space="0" w:color="auto"/>
        <w:bottom w:val="none" w:sz="0" w:space="0" w:color="auto"/>
        <w:right w:val="none" w:sz="0" w:space="0" w:color="auto"/>
      </w:divBdr>
    </w:div>
    <w:div w:id="1856536528">
      <w:bodyDiv w:val="1"/>
      <w:marLeft w:val="0"/>
      <w:marRight w:val="0"/>
      <w:marTop w:val="0"/>
      <w:marBottom w:val="0"/>
      <w:divBdr>
        <w:top w:val="none" w:sz="0" w:space="0" w:color="auto"/>
        <w:left w:val="none" w:sz="0" w:space="0" w:color="auto"/>
        <w:bottom w:val="none" w:sz="0" w:space="0" w:color="auto"/>
        <w:right w:val="none" w:sz="0" w:space="0" w:color="auto"/>
      </w:divBdr>
    </w:div>
    <w:div w:id="1912813627">
      <w:bodyDiv w:val="1"/>
      <w:marLeft w:val="0"/>
      <w:marRight w:val="0"/>
      <w:marTop w:val="0"/>
      <w:marBottom w:val="0"/>
      <w:divBdr>
        <w:top w:val="none" w:sz="0" w:space="0" w:color="auto"/>
        <w:left w:val="none" w:sz="0" w:space="0" w:color="auto"/>
        <w:bottom w:val="none" w:sz="0" w:space="0" w:color="auto"/>
        <w:right w:val="none" w:sz="0" w:space="0" w:color="auto"/>
      </w:divBdr>
    </w:div>
    <w:div w:id="1945111685">
      <w:bodyDiv w:val="1"/>
      <w:marLeft w:val="0"/>
      <w:marRight w:val="0"/>
      <w:marTop w:val="0"/>
      <w:marBottom w:val="0"/>
      <w:divBdr>
        <w:top w:val="none" w:sz="0" w:space="0" w:color="auto"/>
        <w:left w:val="none" w:sz="0" w:space="0" w:color="auto"/>
        <w:bottom w:val="none" w:sz="0" w:space="0" w:color="auto"/>
        <w:right w:val="none" w:sz="0" w:space="0" w:color="auto"/>
      </w:divBdr>
    </w:div>
    <w:div w:id="1972006638">
      <w:bodyDiv w:val="1"/>
      <w:marLeft w:val="0"/>
      <w:marRight w:val="0"/>
      <w:marTop w:val="0"/>
      <w:marBottom w:val="0"/>
      <w:divBdr>
        <w:top w:val="none" w:sz="0" w:space="0" w:color="auto"/>
        <w:left w:val="none" w:sz="0" w:space="0" w:color="auto"/>
        <w:bottom w:val="none" w:sz="0" w:space="0" w:color="auto"/>
        <w:right w:val="none" w:sz="0" w:space="0" w:color="auto"/>
      </w:divBdr>
    </w:div>
    <w:div w:id="1975402266">
      <w:bodyDiv w:val="1"/>
      <w:marLeft w:val="0"/>
      <w:marRight w:val="0"/>
      <w:marTop w:val="0"/>
      <w:marBottom w:val="0"/>
      <w:divBdr>
        <w:top w:val="none" w:sz="0" w:space="0" w:color="auto"/>
        <w:left w:val="none" w:sz="0" w:space="0" w:color="auto"/>
        <w:bottom w:val="none" w:sz="0" w:space="0" w:color="auto"/>
        <w:right w:val="none" w:sz="0" w:space="0" w:color="auto"/>
      </w:divBdr>
    </w:div>
    <w:div w:id="2006475783">
      <w:bodyDiv w:val="1"/>
      <w:marLeft w:val="0"/>
      <w:marRight w:val="0"/>
      <w:marTop w:val="0"/>
      <w:marBottom w:val="0"/>
      <w:divBdr>
        <w:top w:val="none" w:sz="0" w:space="0" w:color="auto"/>
        <w:left w:val="none" w:sz="0" w:space="0" w:color="auto"/>
        <w:bottom w:val="none" w:sz="0" w:space="0" w:color="auto"/>
        <w:right w:val="none" w:sz="0" w:space="0" w:color="auto"/>
      </w:divBdr>
    </w:div>
    <w:div w:id="2024431448">
      <w:bodyDiv w:val="1"/>
      <w:marLeft w:val="0"/>
      <w:marRight w:val="0"/>
      <w:marTop w:val="0"/>
      <w:marBottom w:val="0"/>
      <w:divBdr>
        <w:top w:val="none" w:sz="0" w:space="0" w:color="auto"/>
        <w:left w:val="none" w:sz="0" w:space="0" w:color="auto"/>
        <w:bottom w:val="none" w:sz="0" w:space="0" w:color="auto"/>
        <w:right w:val="none" w:sz="0" w:space="0" w:color="auto"/>
      </w:divBdr>
    </w:div>
    <w:div w:id="2028822024">
      <w:bodyDiv w:val="1"/>
      <w:marLeft w:val="0"/>
      <w:marRight w:val="0"/>
      <w:marTop w:val="0"/>
      <w:marBottom w:val="0"/>
      <w:divBdr>
        <w:top w:val="none" w:sz="0" w:space="0" w:color="auto"/>
        <w:left w:val="none" w:sz="0" w:space="0" w:color="auto"/>
        <w:bottom w:val="none" w:sz="0" w:space="0" w:color="auto"/>
        <w:right w:val="none" w:sz="0" w:space="0" w:color="auto"/>
      </w:divBdr>
    </w:div>
    <w:div w:id="2033220779">
      <w:bodyDiv w:val="1"/>
      <w:marLeft w:val="0"/>
      <w:marRight w:val="0"/>
      <w:marTop w:val="0"/>
      <w:marBottom w:val="0"/>
      <w:divBdr>
        <w:top w:val="none" w:sz="0" w:space="0" w:color="auto"/>
        <w:left w:val="none" w:sz="0" w:space="0" w:color="auto"/>
        <w:bottom w:val="none" w:sz="0" w:space="0" w:color="auto"/>
        <w:right w:val="none" w:sz="0" w:space="0" w:color="auto"/>
      </w:divBdr>
    </w:div>
    <w:div w:id="2041003878">
      <w:bodyDiv w:val="1"/>
      <w:marLeft w:val="0"/>
      <w:marRight w:val="0"/>
      <w:marTop w:val="0"/>
      <w:marBottom w:val="0"/>
      <w:divBdr>
        <w:top w:val="none" w:sz="0" w:space="0" w:color="auto"/>
        <w:left w:val="none" w:sz="0" w:space="0" w:color="auto"/>
        <w:bottom w:val="none" w:sz="0" w:space="0" w:color="auto"/>
        <w:right w:val="none" w:sz="0" w:space="0" w:color="auto"/>
      </w:divBdr>
    </w:div>
    <w:div w:id="2041319445">
      <w:bodyDiv w:val="1"/>
      <w:marLeft w:val="0"/>
      <w:marRight w:val="0"/>
      <w:marTop w:val="0"/>
      <w:marBottom w:val="0"/>
      <w:divBdr>
        <w:top w:val="none" w:sz="0" w:space="0" w:color="auto"/>
        <w:left w:val="none" w:sz="0" w:space="0" w:color="auto"/>
        <w:bottom w:val="none" w:sz="0" w:space="0" w:color="auto"/>
        <w:right w:val="none" w:sz="0" w:space="0" w:color="auto"/>
      </w:divBdr>
    </w:div>
    <w:div w:id="2043045136">
      <w:bodyDiv w:val="1"/>
      <w:marLeft w:val="0"/>
      <w:marRight w:val="0"/>
      <w:marTop w:val="0"/>
      <w:marBottom w:val="0"/>
      <w:divBdr>
        <w:top w:val="none" w:sz="0" w:space="0" w:color="auto"/>
        <w:left w:val="none" w:sz="0" w:space="0" w:color="auto"/>
        <w:bottom w:val="none" w:sz="0" w:space="0" w:color="auto"/>
        <w:right w:val="none" w:sz="0" w:space="0" w:color="auto"/>
      </w:divBdr>
      <w:divsChild>
        <w:div w:id="70005938">
          <w:marLeft w:val="288"/>
          <w:marRight w:val="0"/>
          <w:marTop w:val="43"/>
          <w:marBottom w:val="0"/>
          <w:divBdr>
            <w:top w:val="none" w:sz="0" w:space="0" w:color="auto"/>
            <w:left w:val="none" w:sz="0" w:space="0" w:color="auto"/>
            <w:bottom w:val="none" w:sz="0" w:space="0" w:color="auto"/>
            <w:right w:val="none" w:sz="0" w:space="0" w:color="auto"/>
          </w:divBdr>
        </w:div>
        <w:div w:id="157425787">
          <w:marLeft w:val="288"/>
          <w:marRight w:val="0"/>
          <w:marTop w:val="43"/>
          <w:marBottom w:val="0"/>
          <w:divBdr>
            <w:top w:val="none" w:sz="0" w:space="0" w:color="auto"/>
            <w:left w:val="none" w:sz="0" w:space="0" w:color="auto"/>
            <w:bottom w:val="none" w:sz="0" w:space="0" w:color="auto"/>
            <w:right w:val="none" w:sz="0" w:space="0" w:color="auto"/>
          </w:divBdr>
        </w:div>
        <w:div w:id="482279612">
          <w:marLeft w:val="288"/>
          <w:marRight w:val="0"/>
          <w:marTop w:val="43"/>
          <w:marBottom w:val="0"/>
          <w:divBdr>
            <w:top w:val="none" w:sz="0" w:space="0" w:color="auto"/>
            <w:left w:val="none" w:sz="0" w:space="0" w:color="auto"/>
            <w:bottom w:val="none" w:sz="0" w:space="0" w:color="auto"/>
            <w:right w:val="none" w:sz="0" w:space="0" w:color="auto"/>
          </w:divBdr>
        </w:div>
        <w:div w:id="507864199">
          <w:marLeft w:val="288"/>
          <w:marRight w:val="0"/>
          <w:marTop w:val="43"/>
          <w:marBottom w:val="0"/>
          <w:divBdr>
            <w:top w:val="none" w:sz="0" w:space="0" w:color="auto"/>
            <w:left w:val="none" w:sz="0" w:space="0" w:color="auto"/>
            <w:bottom w:val="none" w:sz="0" w:space="0" w:color="auto"/>
            <w:right w:val="none" w:sz="0" w:space="0" w:color="auto"/>
          </w:divBdr>
        </w:div>
        <w:div w:id="743339526">
          <w:marLeft w:val="288"/>
          <w:marRight w:val="0"/>
          <w:marTop w:val="43"/>
          <w:marBottom w:val="0"/>
          <w:divBdr>
            <w:top w:val="none" w:sz="0" w:space="0" w:color="auto"/>
            <w:left w:val="none" w:sz="0" w:space="0" w:color="auto"/>
            <w:bottom w:val="none" w:sz="0" w:space="0" w:color="auto"/>
            <w:right w:val="none" w:sz="0" w:space="0" w:color="auto"/>
          </w:divBdr>
        </w:div>
        <w:div w:id="773405808">
          <w:marLeft w:val="288"/>
          <w:marRight w:val="0"/>
          <w:marTop w:val="43"/>
          <w:marBottom w:val="0"/>
          <w:divBdr>
            <w:top w:val="none" w:sz="0" w:space="0" w:color="auto"/>
            <w:left w:val="none" w:sz="0" w:space="0" w:color="auto"/>
            <w:bottom w:val="none" w:sz="0" w:space="0" w:color="auto"/>
            <w:right w:val="none" w:sz="0" w:space="0" w:color="auto"/>
          </w:divBdr>
        </w:div>
        <w:div w:id="929314369">
          <w:marLeft w:val="288"/>
          <w:marRight w:val="0"/>
          <w:marTop w:val="43"/>
          <w:marBottom w:val="0"/>
          <w:divBdr>
            <w:top w:val="none" w:sz="0" w:space="0" w:color="auto"/>
            <w:left w:val="none" w:sz="0" w:space="0" w:color="auto"/>
            <w:bottom w:val="none" w:sz="0" w:space="0" w:color="auto"/>
            <w:right w:val="none" w:sz="0" w:space="0" w:color="auto"/>
          </w:divBdr>
        </w:div>
        <w:div w:id="986013787">
          <w:marLeft w:val="288"/>
          <w:marRight w:val="0"/>
          <w:marTop w:val="43"/>
          <w:marBottom w:val="0"/>
          <w:divBdr>
            <w:top w:val="none" w:sz="0" w:space="0" w:color="auto"/>
            <w:left w:val="none" w:sz="0" w:space="0" w:color="auto"/>
            <w:bottom w:val="none" w:sz="0" w:space="0" w:color="auto"/>
            <w:right w:val="none" w:sz="0" w:space="0" w:color="auto"/>
          </w:divBdr>
        </w:div>
        <w:div w:id="1084718299">
          <w:marLeft w:val="288"/>
          <w:marRight w:val="0"/>
          <w:marTop w:val="43"/>
          <w:marBottom w:val="0"/>
          <w:divBdr>
            <w:top w:val="none" w:sz="0" w:space="0" w:color="auto"/>
            <w:left w:val="none" w:sz="0" w:space="0" w:color="auto"/>
            <w:bottom w:val="none" w:sz="0" w:space="0" w:color="auto"/>
            <w:right w:val="none" w:sz="0" w:space="0" w:color="auto"/>
          </w:divBdr>
        </w:div>
        <w:div w:id="1214851128">
          <w:marLeft w:val="288"/>
          <w:marRight w:val="0"/>
          <w:marTop w:val="43"/>
          <w:marBottom w:val="0"/>
          <w:divBdr>
            <w:top w:val="none" w:sz="0" w:space="0" w:color="auto"/>
            <w:left w:val="none" w:sz="0" w:space="0" w:color="auto"/>
            <w:bottom w:val="none" w:sz="0" w:space="0" w:color="auto"/>
            <w:right w:val="none" w:sz="0" w:space="0" w:color="auto"/>
          </w:divBdr>
        </w:div>
        <w:div w:id="1231579939">
          <w:marLeft w:val="288"/>
          <w:marRight w:val="0"/>
          <w:marTop w:val="43"/>
          <w:marBottom w:val="0"/>
          <w:divBdr>
            <w:top w:val="none" w:sz="0" w:space="0" w:color="auto"/>
            <w:left w:val="none" w:sz="0" w:space="0" w:color="auto"/>
            <w:bottom w:val="none" w:sz="0" w:space="0" w:color="auto"/>
            <w:right w:val="none" w:sz="0" w:space="0" w:color="auto"/>
          </w:divBdr>
        </w:div>
        <w:div w:id="1242444380">
          <w:marLeft w:val="288"/>
          <w:marRight w:val="0"/>
          <w:marTop w:val="43"/>
          <w:marBottom w:val="0"/>
          <w:divBdr>
            <w:top w:val="none" w:sz="0" w:space="0" w:color="auto"/>
            <w:left w:val="none" w:sz="0" w:space="0" w:color="auto"/>
            <w:bottom w:val="none" w:sz="0" w:space="0" w:color="auto"/>
            <w:right w:val="none" w:sz="0" w:space="0" w:color="auto"/>
          </w:divBdr>
        </w:div>
        <w:div w:id="1436748483">
          <w:marLeft w:val="288"/>
          <w:marRight w:val="0"/>
          <w:marTop w:val="43"/>
          <w:marBottom w:val="0"/>
          <w:divBdr>
            <w:top w:val="none" w:sz="0" w:space="0" w:color="auto"/>
            <w:left w:val="none" w:sz="0" w:space="0" w:color="auto"/>
            <w:bottom w:val="none" w:sz="0" w:space="0" w:color="auto"/>
            <w:right w:val="none" w:sz="0" w:space="0" w:color="auto"/>
          </w:divBdr>
        </w:div>
        <w:div w:id="1469123590">
          <w:marLeft w:val="288"/>
          <w:marRight w:val="0"/>
          <w:marTop w:val="43"/>
          <w:marBottom w:val="0"/>
          <w:divBdr>
            <w:top w:val="none" w:sz="0" w:space="0" w:color="auto"/>
            <w:left w:val="none" w:sz="0" w:space="0" w:color="auto"/>
            <w:bottom w:val="none" w:sz="0" w:space="0" w:color="auto"/>
            <w:right w:val="none" w:sz="0" w:space="0" w:color="auto"/>
          </w:divBdr>
        </w:div>
        <w:div w:id="1530558179">
          <w:marLeft w:val="288"/>
          <w:marRight w:val="0"/>
          <w:marTop w:val="43"/>
          <w:marBottom w:val="0"/>
          <w:divBdr>
            <w:top w:val="none" w:sz="0" w:space="0" w:color="auto"/>
            <w:left w:val="none" w:sz="0" w:space="0" w:color="auto"/>
            <w:bottom w:val="none" w:sz="0" w:space="0" w:color="auto"/>
            <w:right w:val="none" w:sz="0" w:space="0" w:color="auto"/>
          </w:divBdr>
        </w:div>
        <w:div w:id="1537815986">
          <w:marLeft w:val="288"/>
          <w:marRight w:val="0"/>
          <w:marTop w:val="43"/>
          <w:marBottom w:val="0"/>
          <w:divBdr>
            <w:top w:val="none" w:sz="0" w:space="0" w:color="auto"/>
            <w:left w:val="none" w:sz="0" w:space="0" w:color="auto"/>
            <w:bottom w:val="none" w:sz="0" w:space="0" w:color="auto"/>
            <w:right w:val="none" w:sz="0" w:space="0" w:color="auto"/>
          </w:divBdr>
        </w:div>
        <w:div w:id="1562911575">
          <w:marLeft w:val="288"/>
          <w:marRight w:val="0"/>
          <w:marTop w:val="43"/>
          <w:marBottom w:val="0"/>
          <w:divBdr>
            <w:top w:val="none" w:sz="0" w:space="0" w:color="auto"/>
            <w:left w:val="none" w:sz="0" w:space="0" w:color="auto"/>
            <w:bottom w:val="none" w:sz="0" w:space="0" w:color="auto"/>
            <w:right w:val="none" w:sz="0" w:space="0" w:color="auto"/>
          </w:divBdr>
        </w:div>
        <w:div w:id="1791776906">
          <w:marLeft w:val="288"/>
          <w:marRight w:val="0"/>
          <w:marTop w:val="43"/>
          <w:marBottom w:val="0"/>
          <w:divBdr>
            <w:top w:val="none" w:sz="0" w:space="0" w:color="auto"/>
            <w:left w:val="none" w:sz="0" w:space="0" w:color="auto"/>
            <w:bottom w:val="none" w:sz="0" w:space="0" w:color="auto"/>
            <w:right w:val="none" w:sz="0" w:space="0" w:color="auto"/>
          </w:divBdr>
        </w:div>
        <w:div w:id="1801990602">
          <w:marLeft w:val="288"/>
          <w:marRight w:val="0"/>
          <w:marTop w:val="43"/>
          <w:marBottom w:val="0"/>
          <w:divBdr>
            <w:top w:val="none" w:sz="0" w:space="0" w:color="auto"/>
            <w:left w:val="none" w:sz="0" w:space="0" w:color="auto"/>
            <w:bottom w:val="none" w:sz="0" w:space="0" w:color="auto"/>
            <w:right w:val="none" w:sz="0" w:space="0" w:color="auto"/>
          </w:divBdr>
        </w:div>
        <w:div w:id="1822311011">
          <w:marLeft w:val="288"/>
          <w:marRight w:val="0"/>
          <w:marTop w:val="43"/>
          <w:marBottom w:val="0"/>
          <w:divBdr>
            <w:top w:val="none" w:sz="0" w:space="0" w:color="auto"/>
            <w:left w:val="none" w:sz="0" w:space="0" w:color="auto"/>
            <w:bottom w:val="none" w:sz="0" w:space="0" w:color="auto"/>
            <w:right w:val="none" w:sz="0" w:space="0" w:color="auto"/>
          </w:divBdr>
        </w:div>
      </w:divsChild>
    </w:div>
    <w:div w:id="2047950914">
      <w:bodyDiv w:val="1"/>
      <w:marLeft w:val="0"/>
      <w:marRight w:val="0"/>
      <w:marTop w:val="0"/>
      <w:marBottom w:val="0"/>
      <w:divBdr>
        <w:top w:val="none" w:sz="0" w:space="0" w:color="auto"/>
        <w:left w:val="none" w:sz="0" w:space="0" w:color="auto"/>
        <w:bottom w:val="none" w:sz="0" w:space="0" w:color="auto"/>
        <w:right w:val="none" w:sz="0" w:space="0" w:color="auto"/>
      </w:divBdr>
    </w:div>
    <w:div w:id="2050110031">
      <w:bodyDiv w:val="1"/>
      <w:marLeft w:val="0"/>
      <w:marRight w:val="0"/>
      <w:marTop w:val="0"/>
      <w:marBottom w:val="0"/>
      <w:divBdr>
        <w:top w:val="none" w:sz="0" w:space="0" w:color="auto"/>
        <w:left w:val="none" w:sz="0" w:space="0" w:color="auto"/>
        <w:bottom w:val="none" w:sz="0" w:space="0" w:color="auto"/>
        <w:right w:val="none" w:sz="0" w:space="0" w:color="auto"/>
      </w:divBdr>
    </w:div>
    <w:div w:id="2057385804">
      <w:bodyDiv w:val="1"/>
      <w:marLeft w:val="0"/>
      <w:marRight w:val="0"/>
      <w:marTop w:val="0"/>
      <w:marBottom w:val="0"/>
      <w:divBdr>
        <w:top w:val="none" w:sz="0" w:space="0" w:color="auto"/>
        <w:left w:val="none" w:sz="0" w:space="0" w:color="auto"/>
        <w:bottom w:val="none" w:sz="0" w:space="0" w:color="auto"/>
        <w:right w:val="none" w:sz="0" w:space="0" w:color="auto"/>
      </w:divBdr>
      <w:divsChild>
        <w:div w:id="36046790">
          <w:marLeft w:val="446"/>
          <w:marRight w:val="0"/>
          <w:marTop w:val="0"/>
          <w:marBottom w:val="120"/>
          <w:divBdr>
            <w:top w:val="none" w:sz="0" w:space="0" w:color="auto"/>
            <w:left w:val="none" w:sz="0" w:space="0" w:color="auto"/>
            <w:bottom w:val="none" w:sz="0" w:space="0" w:color="auto"/>
            <w:right w:val="none" w:sz="0" w:space="0" w:color="auto"/>
          </w:divBdr>
        </w:div>
        <w:div w:id="131027073">
          <w:marLeft w:val="691"/>
          <w:marRight w:val="0"/>
          <w:marTop w:val="0"/>
          <w:marBottom w:val="120"/>
          <w:divBdr>
            <w:top w:val="none" w:sz="0" w:space="0" w:color="auto"/>
            <w:left w:val="none" w:sz="0" w:space="0" w:color="auto"/>
            <w:bottom w:val="none" w:sz="0" w:space="0" w:color="auto"/>
            <w:right w:val="none" w:sz="0" w:space="0" w:color="auto"/>
          </w:divBdr>
        </w:div>
        <w:div w:id="402024238">
          <w:marLeft w:val="691"/>
          <w:marRight w:val="0"/>
          <w:marTop w:val="0"/>
          <w:marBottom w:val="120"/>
          <w:divBdr>
            <w:top w:val="none" w:sz="0" w:space="0" w:color="auto"/>
            <w:left w:val="none" w:sz="0" w:space="0" w:color="auto"/>
            <w:bottom w:val="none" w:sz="0" w:space="0" w:color="auto"/>
            <w:right w:val="none" w:sz="0" w:space="0" w:color="auto"/>
          </w:divBdr>
        </w:div>
        <w:div w:id="673724428">
          <w:marLeft w:val="446"/>
          <w:marRight w:val="0"/>
          <w:marTop w:val="0"/>
          <w:marBottom w:val="120"/>
          <w:divBdr>
            <w:top w:val="none" w:sz="0" w:space="0" w:color="auto"/>
            <w:left w:val="none" w:sz="0" w:space="0" w:color="auto"/>
            <w:bottom w:val="none" w:sz="0" w:space="0" w:color="auto"/>
            <w:right w:val="none" w:sz="0" w:space="0" w:color="auto"/>
          </w:divBdr>
        </w:div>
        <w:div w:id="819469218">
          <w:marLeft w:val="691"/>
          <w:marRight w:val="0"/>
          <w:marTop w:val="0"/>
          <w:marBottom w:val="120"/>
          <w:divBdr>
            <w:top w:val="none" w:sz="0" w:space="0" w:color="auto"/>
            <w:left w:val="none" w:sz="0" w:space="0" w:color="auto"/>
            <w:bottom w:val="none" w:sz="0" w:space="0" w:color="auto"/>
            <w:right w:val="none" w:sz="0" w:space="0" w:color="auto"/>
          </w:divBdr>
        </w:div>
        <w:div w:id="829566906">
          <w:marLeft w:val="691"/>
          <w:marRight w:val="0"/>
          <w:marTop w:val="0"/>
          <w:marBottom w:val="120"/>
          <w:divBdr>
            <w:top w:val="none" w:sz="0" w:space="0" w:color="auto"/>
            <w:left w:val="none" w:sz="0" w:space="0" w:color="auto"/>
            <w:bottom w:val="none" w:sz="0" w:space="0" w:color="auto"/>
            <w:right w:val="none" w:sz="0" w:space="0" w:color="auto"/>
          </w:divBdr>
        </w:div>
        <w:div w:id="1021593575">
          <w:marLeft w:val="446"/>
          <w:marRight w:val="0"/>
          <w:marTop w:val="0"/>
          <w:marBottom w:val="120"/>
          <w:divBdr>
            <w:top w:val="none" w:sz="0" w:space="0" w:color="auto"/>
            <w:left w:val="none" w:sz="0" w:space="0" w:color="auto"/>
            <w:bottom w:val="none" w:sz="0" w:space="0" w:color="auto"/>
            <w:right w:val="none" w:sz="0" w:space="0" w:color="auto"/>
          </w:divBdr>
        </w:div>
        <w:div w:id="1091585426">
          <w:marLeft w:val="691"/>
          <w:marRight w:val="0"/>
          <w:marTop w:val="0"/>
          <w:marBottom w:val="120"/>
          <w:divBdr>
            <w:top w:val="none" w:sz="0" w:space="0" w:color="auto"/>
            <w:left w:val="none" w:sz="0" w:space="0" w:color="auto"/>
            <w:bottom w:val="none" w:sz="0" w:space="0" w:color="auto"/>
            <w:right w:val="none" w:sz="0" w:space="0" w:color="auto"/>
          </w:divBdr>
        </w:div>
        <w:div w:id="1631403598">
          <w:marLeft w:val="446"/>
          <w:marRight w:val="0"/>
          <w:marTop w:val="0"/>
          <w:marBottom w:val="120"/>
          <w:divBdr>
            <w:top w:val="none" w:sz="0" w:space="0" w:color="auto"/>
            <w:left w:val="none" w:sz="0" w:space="0" w:color="auto"/>
            <w:bottom w:val="none" w:sz="0" w:space="0" w:color="auto"/>
            <w:right w:val="none" w:sz="0" w:space="0" w:color="auto"/>
          </w:divBdr>
        </w:div>
        <w:div w:id="1664431833">
          <w:marLeft w:val="691"/>
          <w:marRight w:val="0"/>
          <w:marTop w:val="0"/>
          <w:marBottom w:val="120"/>
          <w:divBdr>
            <w:top w:val="none" w:sz="0" w:space="0" w:color="auto"/>
            <w:left w:val="none" w:sz="0" w:space="0" w:color="auto"/>
            <w:bottom w:val="none" w:sz="0" w:space="0" w:color="auto"/>
            <w:right w:val="none" w:sz="0" w:space="0" w:color="auto"/>
          </w:divBdr>
        </w:div>
        <w:div w:id="1887831298">
          <w:marLeft w:val="691"/>
          <w:marRight w:val="0"/>
          <w:marTop w:val="0"/>
          <w:marBottom w:val="120"/>
          <w:divBdr>
            <w:top w:val="none" w:sz="0" w:space="0" w:color="auto"/>
            <w:left w:val="none" w:sz="0" w:space="0" w:color="auto"/>
            <w:bottom w:val="none" w:sz="0" w:space="0" w:color="auto"/>
            <w:right w:val="none" w:sz="0" w:space="0" w:color="auto"/>
          </w:divBdr>
        </w:div>
      </w:divsChild>
    </w:div>
    <w:div w:id="2130010405">
      <w:bodyDiv w:val="1"/>
      <w:marLeft w:val="0"/>
      <w:marRight w:val="0"/>
      <w:marTop w:val="0"/>
      <w:marBottom w:val="0"/>
      <w:divBdr>
        <w:top w:val="none" w:sz="0" w:space="0" w:color="auto"/>
        <w:left w:val="none" w:sz="0" w:space="0" w:color="auto"/>
        <w:bottom w:val="none" w:sz="0" w:space="0" w:color="auto"/>
        <w:right w:val="none" w:sz="0" w:space="0" w:color="auto"/>
      </w:divBdr>
      <w:divsChild>
        <w:div w:id="109667399">
          <w:marLeft w:val="1166"/>
          <w:marRight w:val="0"/>
          <w:marTop w:val="100"/>
          <w:marBottom w:val="60"/>
          <w:divBdr>
            <w:top w:val="none" w:sz="0" w:space="0" w:color="auto"/>
            <w:left w:val="none" w:sz="0" w:space="0" w:color="auto"/>
            <w:bottom w:val="none" w:sz="0" w:space="0" w:color="auto"/>
            <w:right w:val="none" w:sz="0" w:space="0" w:color="auto"/>
          </w:divBdr>
        </w:div>
        <w:div w:id="328212834">
          <w:marLeft w:val="2606"/>
          <w:marRight w:val="0"/>
          <w:marTop w:val="100"/>
          <w:marBottom w:val="60"/>
          <w:divBdr>
            <w:top w:val="none" w:sz="0" w:space="0" w:color="auto"/>
            <w:left w:val="none" w:sz="0" w:space="0" w:color="auto"/>
            <w:bottom w:val="none" w:sz="0" w:space="0" w:color="auto"/>
            <w:right w:val="none" w:sz="0" w:space="0" w:color="auto"/>
          </w:divBdr>
        </w:div>
        <w:div w:id="418258848">
          <w:marLeft w:val="2434"/>
          <w:marRight w:val="0"/>
          <w:marTop w:val="100"/>
          <w:marBottom w:val="60"/>
          <w:divBdr>
            <w:top w:val="none" w:sz="0" w:space="0" w:color="auto"/>
            <w:left w:val="none" w:sz="0" w:space="0" w:color="auto"/>
            <w:bottom w:val="none" w:sz="0" w:space="0" w:color="auto"/>
            <w:right w:val="none" w:sz="0" w:space="0" w:color="auto"/>
          </w:divBdr>
        </w:div>
        <w:div w:id="471335255">
          <w:marLeft w:val="2434"/>
          <w:marRight w:val="0"/>
          <w:marTop w:val="100"/>
          <w:marBottom w:val="60"/>
          <w:divBdr>
            <w:top w:val="none" w:sz="0" w:space="0" w:color="auto"/>
            <w:left w:val="none" w:sz="0" w:space="0" w:color="auto"/>
            <w:bottom w:val="none" w:sz="0" w:space="0" w:color="auto"/>
            <w:right w:val="none" w:sz="0" w:space="0" w:color="auto"/>
          </w:divBdr>
        </w:div>
        <w:div w:id="552501098">
          <w:marLeft w:val="3326"/>
          <w:marRight w:val="0"/>
          <w:marTop w:val="100"/>
          <w:marBottom w:val="60"/>
          <w:divBdr>
            <w:top w:val="none" w:sz="0" w:space="0" w:color="auto"/>
            <w:left w:val="none" w:sz="0" w:space="0" w:color="auto"/>
            <w:bottom w:val="none" w:sz="0" w:space="0" w:color="auto"/>
            <w:right w:val="none" w:sz="0" w:space="0" w:color="auto"/>
          </w:divBdr>
        </w:div>
        <w:div w:id="836119075">
          <w:marLeft w:val="3326"/>
          <w:marRight w:val="0"/>
          <w:marTop w:val="100"/>
          <w:marBottom w:val="60"/>
          <w:divBdr>
            <w:top w:val="none" w:sz="0" w:space="0" w:color="auto"/>
            <w:left w:val="none" w:sz="0" w:space="0" w:color="auto"/>
            <w:bottom w:val="none" w:sz="0" w:space="0" w:color="auto"/>
            <w:right w:val="none" w:sz="0" w:space="0" w:color="auto"/>
          </w:divBdr>
        </w:div>
        <w:div w:id="1129401044">
          <w:marLeft w:val="2434"/>
          <w:marRight w:val="0"/>
          <w:marTop w:val="100"/>
          <w:marBottom w:val="60"/>
          <w:divBdr>
            <w:top w:val="none" w:sz="0" w:space="0" w:color="auto"/>
            <w:left w:val="none" w:sz="0" w:space="0" w:color="auto"/>
            <w:bottom w:val="none" w:sz="0" w:space="0" w:color="auto"/>
            <w:right w:val="none" w:sz="0" w:space="0" w:color="auto"/>
          </w:divBdr>
        </w:div>
        <w:div w:id="1156609339">
          <w:marLeft w:val="1886"/>
          <w:marRight w:val="0"/>
          <w:marTop w:val="100"/>
          <w:marBottom w:val="60"/>
          <w:divBdr>
            <w:top w:val="none" w:sz="0" w:space="0" w:color="auto"/>
            <w:left w:val="none" w:sz="0" w:space="0" w:color="auto"/>
            <w:bottom w:val="none" w:sz="0" w:space="0" w:color="auto"/>
            <w:right w:val="none" w:sz="0" w:space="0" w:color="auto"/>
          </w:divBdr>
        </w:div>
        <w:div w:id="1367943977">
          <w:marLeft w:val="2434"/>
          <w:marRight w:val="0"/>
          <w:marTop w:val="100"/>
          <w:marBottom w:val="60"/>
          <w:divBdr>
            <w:top w:val="none" w:sz="0" w:space="0" w:color="auto"/>
            <w:left w:val="none" w:sz="0" w:space="0" w:color="auto"/>
            <w:bottom w:val="none" w:sz="0" w:space="0" w:color="auto"/>
            <w:right w:val="none" w:sz="0" w:space="0" w:color="auto"/>
          </w:divBdr>
        </w:div>
        <w:div w:id="1617911183">
          <w:marLeft w:val="3326"/>
          <w:marRight w:val="0"/>
          <w:marTop w:val="100"/>
          <w:marBottom w:val="60"/>
          <w:divBdr>
            <w:top w:val="none" w:sz="0" w:space="0" w:color="auto"/>
            <w:left w:val="none" w:sz="0" w:space="0" w:color="auto"/>
            <w:bottom w:val="none" w:sz="0" w:space="0" w:color="auto"/>
            <w:right w:val="none" w:sz="0" w:space="0" w:color="auto"/>
          </w:divBdr>
        </w:div>
        <w:div w:id="2104910447">
          <w:marLeft w:val="0"/>
          <w:marRight w:val="0"/>
          <w:marTop w:val="280"/>
          <w:marBottom w:val="120"/>
          <w:divBdr>
            <w:top w:val="none" w:sz="0" w:space="0" w:color="auto"/>
            <w:left w:val="none" w:sz="0" w:space="0" w:color="auto"/>
            <w:bottom w:val="none" w:sz="0" w:space="0" w:color="auto"/>
            <w:right w:val="none" w:sz="0" w:space="0" w:color="auto"/>
          </w:divBdr>
        </w:div>
        <w:div w:id="2121409254">
          <w:marLeft w:val="2606"/>
          <w:marRight w:val="0"/>
          <w:marTop w:val="100"/>
          <w:marBottom w:val="6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emf"/><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hyperlink" Target="https://www.fixtrading.org/recommended-practicesguidelines/" TargetMode="Externa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7.png"/><Relationship Id="rId31" Type="http://schemas.openxmlformats.org/officeDocument/2006/relationships/image" Target="media/image19.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F61167B4C6AA4CB208558241548E67" ma:contentTypeVersion="5" ma:contentTypeDescription="Create a new document." ma:contentTypeScope="" ma:versionID="385e6d5b084ddb36ffacb96b3292b0f3">
  <xsd:schema xmlns:xsd="http://www.w3.org/2001/XMLSchema" xmlns:xs="http://www.w3.org/2001/XMLSchema" xmlns:p="http://schemas.microsoft.com/office/2006/metadata/properties" xmlns:ns1="http://schemas.microsoft.com/sharepoint/v3" targetNamespace="http://schemas.microsoft.com/office/2006/metadata/properties" ma:root="true" ma:fieldsID="9eae5e32efd0a3b297099cfa2ee4636f" ns1:_="">
    <xsd:import namespace="http://schemas.microsoft.com/sharepoint/v3"/>
    <xsd:element name="properties">
      <xsd:complexType>
        <xsd:sequence>
          <xsd:element name="documentManagement">
            <xsd:complexType>
              <xsd:all>
                <xsd:element ref="ns1:EmailSender" minOccurs="0"/>
                <xsd:element ref="ns1:EmailTo" minOccurs="0"/>
                <xsd:element ref="ns1:EmailCc" minOccurs="0"/>
                <xsd:element ref="ns1:EmailFrom" minOccurs="0"/>
                <xsd:element ref="ns1:EmailSubjec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mailSender" ma:index="8" nillable="true" ma:displayName="E-Mail Sender" ma:hidden="true" ma:internalName="E_x002d_Mail_x0020_Sender">
      <xsd:simpleType>
        <xsd:restriction base="dms:Note">
          <xsd:maxLength value="255"/>
        </xsd:restriction>
      </xsd:simpleType>
    </xsd:element>
    <xsd:element name="EmailTo" ma:index="9" nillable="true" ma:displayName="E-Mail To" ma:hidden="true" ma:internalName="E_x002d_Mail_x0020_To">
      <xsd:simpleType>
        <xsd:restriction base="dms:Note">
          <xsd:maxLength value="255"/>
        </xsd:restriction>
      </xsd:simpleType>
    </xsd:element>
    <xsd:element name="EmailCc" ma:index="10" nillable="true" ma:displayName="E-Mail Cc" ma:hidden="true" ma:internalName="E_x002d_Mail_x0020_Cc">
      <xsd:simpleType>
        <xsd:restriction base="dms:Note">
          <xsd:maxLength value="255"/>
        </xsd:restriction>
      </xsd:simpleType>
    </xsd:element>
    <xsd:element name="EmailFrom" ma:index="11" nillable="true" ma:displayName="E-Mail From" ma:hidden="true" ma:internalName="E_x002d_Mail_x0020_From">
      <xsd:simpleType>
        <xsd:restriction base="dms:Text"/>
      </xsd:simpleType>
    </xsd:element>
    <xsd:element name="EmailSubject" ma:index="12" nillable="true" ma:displayName="E-Mail Subject" ma:hidden="true" ma:internalName="E_x002d_Mail_x0020_Subjec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80F3C6-75FE-48A1-913A-2D5E565874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93F0CF5-CFBE-4EC9-A1DF-B04432C26B3A}">
  <ds:schemaRefs>
    <ds:schemaRef ds:uri="http://schemas.microsoft.com/sharepoint/v3/contenttype/forms"/>
  </ds:schemaRefs>
</ds:datastoreItem>
</file>

<file path=customXml/itemProps3.xml><?xml version="1.0" encoding="utf-8"?>
<ds:datastoreItem xmlns:ds="http://schemas.openxmlformats.org/officeDocument/2006/customXml" ds:itemID="{C8D2812B-F1A2-4CA3-A862-3FEAD3EB8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14075</Words>
  <Characters>80232</Characters>
  <Application>Microsoft Office Word</Application>
  <DocSecurity>0</DocSecurity>
  <Lines>668</Lines>
  <Paragraphs>188</Paragraphs>
  <ScaleCrop>false</ScaleCrop>
  <HeadingPairs>
    <vt:vector size="2" baseType="variant">
      <vt:variant>
        <vt:lpstr>Title</vt:lpstr>
      </vt:variant>
      <vt:variant>
        <vt:i4>1</vt:i4>
      </vt:variant>
    </vt:vector>
  </HeadingPairs>
  <TitlesOfParts>
    <vt:vector size="1" baseType="lpstr">
      <vt:lpstr>FIX Protocol Gap Analysis Proposal Template</vt:lpstr>
    </vt:vector>
  </TitlesOfParts>
  <Company>FIX Protocol Limited</Company>
  <LinksUpToDate>false</LinksUpToDate>
  <CharactersWithSpaces>94119</CharactersWithSpaces>
  <SharedDoc>false</SharedDoc>
  <HyperlinkBase/>
  <HLinks>
    <vt:vector size="228" baseType="variant">
      <vt:variant>
        <vt:i4>1245187</vt:i4>
      </vt:variant>
      <vt:variant>
        <vt:i4>218</vt:i4>
      </vt:variant>
      <vt:variant>
        <vt:i4>0</vt:i4>
      </vt:variant>
      <vt:variant>
        <vt:i4>5</vt:i4>
      </vt:variant>
      <vt:variant>
        <vt:lpwstr/>
      </vt:variant>
      <vt:variant>
        <vt:lpwstr>_Toc462774416</vt:lpwstr>
      </vt:variant>
      <vt:variant>
        <vt:i4>1245184</vt:i4>
      </vt:variant>
      <vt:variant>
        <vt:i4>212</vt:i4>
      </vt:variant>
      <vt:variant>
        <vt:i4>0</vt:i4>
      </vt:variant>
      <vt:variant>
        <vt:i4>5</vt:i4>
      </vt:variant>
      <vt:variant>
        <vt:lpwstr/>
      </vt:variant>
      <vt:variant>
        <vt:lpwstr>_Toc462774415</vt:lpwstr>
      </vt:variant>
      <vt:variant>
        <vt:i4>1245185</vt:i4>
      </vt:variant>
      <vt:variant>
        <vt:i4>206</vt:i4>
      </vt:variant>
      <vt:variant>
        <vt:i4>0</vt:i4>
      </vt:variant>
      <vt:variant>
        <vt:i4>5</vt:i4>
      </vt:variant>
      <vt:variant>
        <vt:lpwstr/>
      </vt:variant>
      <vt:variant>
        <vt:lpwstr>_Toc462774414</vt:lpwstr>
      </vt:variant>
      <vt:variant>
        <vt:i4>1245190</vt:i4>
      </vt:variant>
      <vt:variant>
        <vt:i4>200</vt:i4>
      </vt:variant>
      <vt:variant>
        <vt:i4>0</vt:i4>
      </vt:variant>
      <vt:variant>
        <vt:i4>5</vt:i4>
      </vt:variant>
      <vt:variant>
        <vt:lpwstr/>
      </vt:variant>
      <vt:variant>
        <vt:lpwstr>_Toc462774413</vt:lpwstr>
      </vt:variant>
      <vt:variant>
        <vt:i4>1245191</vt:i4>
      </vt:variant>
      <vt:variant>
        <vt:i4>194</vt:i4>
      </vt:variant>
      <vt:variant>
        <vt:i4>0</vt:i4>
      </vt:variant>
      <vt:variant>
        <vt:i4>5</vt:i4>
      </vt:variant>
      <vt:variant>
        <vt:lpwstr/>
      </vt:variant>
      <vt:variant>
        <vt:lpwstr>_Toc462774412</vt:lpwstr>
      </vt:variant>
      <vt:variant>
        <vt:i4>1245188</vt:i4>
      </vt:variant>
      <vt:variant>
        <vt:i4>188</vt:i4>
      </vt:variant>
      <vt:variant>
        <vt:i4>0</vt:i4>
      </vt:variant>
      <vt:variant>
        <vt:i4>5</vt:i4>
      </vt:variant>
      <vt:variant>
        <vt:lpwstr/>
      </vt:variant>
      <vt:variant>
        <vt:lpwstr>_Toc462774411</vt:lpwstr>
      </vt:variant>
      <vt:variant>
        <vt:i4>1245189</vt:i4>
      </vt:variant>
      <vt:variant>
        <vt:i4>182</vt:i4>
      </vt:variant>
      <vt:variant>
        <vt:i4>0</vt:i4>
      </vt:variant>
      <vt:variant>
        <vt:i4>5</vt:i4>
      </vt:variant>
      <vt:variant>
        <vt:lpwstr/>
      </vt:variant>
      <vt:variant>
        <vt:lpwstr>_Toc462774410</vt:lpwstr>
      </vt:variant>
      <vt:variant>
        <vt:i4>1179660</vt:i4>
      </vt:variant>
      <vt:variant>
        <vt:i4>176</vt:i4>
      </vt:variant>
      <vt:variant>
        <vt:i4>0</vt:i4>
      </vt:variant>
      <vt:variant>
        <vt:i4>5</vt:i4>
      </vt:variant>
      <vt:variant>
        <vt:lpwstr/>
      </vt:variant>
      <vt:variant>
        <vt:lpwstr>_Toc462774409</vt:lpwstr>
      </vt:variant>
      <vt:variant>
        <vt:i4>1179661</vt:i4>
      </vt:variant>
      <vt:variant>
        <vt:i4>170</vt:i4>
      </vt:variant>
      <vt:variant>
        <vt:i4>0</vt:i4>
      </vt:variant>
      <vt:variant>
        <vt:i4>5</vt:i4>
      </vt:variant>
      <vt:variant>
        <vt:lpwstr/>
      </vt:variant>
      <vt:variant>
        <vt:lpwstr>_Toc462774408</vt:lpwstr>
      </vt:variant>
      <vt:variant>
        <vt:i4>1179650</vt:i4>
      </vt:variant>
      <vt:variant>
        <vt:i4>164</vt:i4>
      </vt:variant>
      <vt:variant>
        <vt:i4>0</vt:i4>
      </vt:variant>
      <vt:variant>
        <vt:i4>5</vt:i4>
      </vt:variant>
      <vt:variant>
        <vt:lpwstr/>
      </vt:variant>
      <vt:variant>
        <vt:lpwstr>_Toc462774407</vt:lpwstr>
      </vt:variant>
      <vt:variant>
        <vt:i4>1179651</vt:i4>
      </vt:variant>
      <vt:variant>
        <vt:i4>158</vt:i4>
      </vt:variant>
      <vt:variant>
        <vt:i4>0</vt:i4>
      </vt:variant>
      <vt:variant>
        <vt:i4>5</vt:i4>
      </vt:variant>
      <vt:variant>
        <vt:lpwstr/>
      </vt:variant>
      <vt:variant>
        <vt:lpwstr>_Toc462774406</vt:lpwstr>
      </vt:variant>
      <vt:variant>
        <vt:i4>1179648</vt:i4>
      </vt:variant>
      <vt:variant>
        <vt:i4>152</vt:i4>
      </vt:variant>
      <vt:variant>
        <vt:i4>0</vt:i4>
      </vt:variant>
      <vt:variant>
        <vt:i4>5</vt:i4>
      </vt:variant>
      <vt:variant>
        <vt:lpwstr/>
      </vt:variant>
      <vt:variant>
        <vt:lpwstr>_Toc462774405</vt:lpwstr>
      </vt:variant>
      <vt:variant>
        <vt:i4>1179649</vt:i4>
      </vt:variant>
      <vt:variant>
        <vt:i4>146</vt:i4>
      </vt:variant>
      <vt:variant>
        <vt:i4>0</vt:i4>
      </vt:variant>
      <vt:variant>
        <vt:i4>5</vt:i4>
      </vt:variant>
      <vt:variant>
        <vt:lpwstr/>
      </vt:variant>
      <vt:variant>
        <vt:lpwstr>_Toc462774404</vt:lpwstr>
      </vt:variant>
      <vt:variant>
        <vt:i4>1179654</vt:i4>
      </vt:variant>
      <vt:variant>
        <vt:i4>140</vt:i4>
      </vt:variant>
      <vt:variant>
        <vt:i4>0</vt:i4>
      </vt:variant>
      <vt:variant>
        <vt:i4>5</vt:i4>
      </vt:variant>
      <vt:variant>
        <vt:lpwstr/>
      </vt:variant>
      <vt:variant>
        <vt:lpwstr>_Toc462774403</vt:lpwstr>
      </vt:variant>
      <vt:variant>
        <vt:i4>1179655</vt:i4>
      </vt:variant>
      <vt:variant>
        <vt:i4>134</vt:i4>
      </vt:variant>
      <vt:variant>
        <vt:i4>0</vt:i4>
      </vt:variant>
      <vt:variant>
        <vt:i4>5</vt:i4>
      </vt:variant>
      <vt:variant>
        <vt:lpwstr/>
      </vt:variant>
      <vt:variant>
        <vt:lpwstr>_Toc462774402</vt:lpwstr>
      </vt:variant>
      <vt:variant>
        <vt:i4>1179652</vt:i4>
      </vt:variant>
      <vt:variant>
        <vt:i4>128</vt:i4>
      </vt:variant>
      <vt:variant>
        <vt:i4>0</vt:i4>
      </vt:variant>
      <vt:variant>
        <vt:i4>5</vt:i4>
      </vt:variant>
      <vt:variant>
        <vt:lpwstr/>
      </vt:variant>
      <vt:variant>
        <vt:lpwstr>_Toc462774401</vt:lpwstr>
      </vt:variant>
      <vt:variant>
        <vt:i4>1179653</vt:i4>
      </vt:variant>
      <vt:variant>
        <vt:i4>122</vt:i4>
      </vt:variant>
      <vt:variant>
        <vt:i4>0</vt:i4>
      </vt:variant>
      <vt:variant>
        <vt:i4>5</vt:i4>
      </vt:variant>
      <vt:variant>
        <vt:lpwstr/>
      </vt:variant>
      <vt:variant>
        <vt:lpwstr>_Toc462774400</vt:lpwstr>
      </vt:variant>
      <vt:variant>
        <vt:i4>1769483</vt:i4>
      </vt:variant>
      <vt:variant>
        <vt:i4>116</vt:i4>
      </vt:variant>
      <vt:variant>
        <vt:i4>0</vt:i4>
      </vt:variant>
      <vt:variant>
        <vt:i4>5</vt:i4>
      </vt:variant>
      <vt:variant>
        <vt:lpwstr/>
      </vt:variant>
      <vt:variant>
        <vt:lpwstr>_Toc462774399</vt:lpwstr>
      </vt:variant>
      <vt:variant>
        <vt:i4>1769482</vt:i4>
      </vt:variant>
      <vt:variant>
        <vt:i4>110</vt:i4>
      </vt:variant>
      <vt:variant>
        <vt:i4>0</vt:i4>
      </vt:variant>
      <vt:variant>
        <vt:i4>5</vt:i4>
      </vt:variant>
      <vt:variant>
        <vt:lpwstr/>
      </vt:variant>
      <vt:variant>
        <vt:lpwstr>_Toc462774398</vt:lpwstr>
      </vt:variant>
      <vt:variant>
        <vt:i4>1769477</vt:i4>
      </vt:variant>
      <vt:variant>
        <vt:i4>104</vt:i4>
      </vt:variant>
      <vt:variant>
        <vt:i4>0</vt:i4>
      </vt:variant>
      <vt:variant>
        <vt:i4>5</vt:i4>
      </vt:variant>
      <vt:variant>
        <vt:lpwstr/>
      </vt:variant>
      <vt:variant>
        <vt:lpwstr>_Toc462774397</vt:lpwstr>
      </vt:variant>
      <vt:variant>
        <vt:i4>1769476</vt:i4>
      </vt:variant>
      <vt:variant>
        <vt:i4>98</vt:i4>
      </vt:variant>
      <vt:variant>
        <vt:i4>0</vt:i4>
      </vt:variant>
      <vt:variant>
        <vt:i4>5</vt:i4>
      </vt:variant>
      <vt:variant>
        <vt:lpwstr/>
      </vt:variant>
      <vt:variant>
        <vt:lpwstr>_Toc462774396</vt:lpwstr>
      </vt:variant>
      <vt:variant>
        <vt:i4>1769479</vt:i4>
      </vt:variant>
      <vt:variant>
        <vt:i4>92</vt:i4>
      </vt:variant>
      <vt:variant>
        <vt:i4>0</vt:i4>
      </vt:variant>
      <vt:variant>
        <vt:i4>5</vt:i4>
      </vt:variant>
      <vt:variant>
        <vt:lpwstr/>
      </vt:variant>
      <vt:variant>
        <vt:lpwstr>_Toc462774395</vt:lpwstr>
      </vt:variant>
      <vt:variant>
        <vt:i4>1769478</vt:i4>
      </vt:variant>
      <vt:variant>
        <vt:i4>86</vt:i4>
      </vt:variant>
      <vt:variant>
        <vt:i4>0</vt:i4>
      </vt:variant>
      <vt:variant>
        <vt:i4>5</vt:i4>
      </vt:variant>
      <vt:variant>
        <vt:lpwstr/>
      </vt:variant>
      <vt:variant>
        <vt:lpwstr>_Toc462774394</vt:lpwstr>
      </vt:variant>
      <vt:variant>
        <vt:i4>1769473</vt:i4>
      </vt:variant>
      <vt:variant>
        <vt:i4>80</vt:i4>
      </vt:variant>
      <vt:variant>
        <vt:i4>0</vt:i4>
      </vt:variant>
      <vt:variant>
        <vt:i4>5</vt:i4>
      </vt:variant>
      <vt:variant>
        <vt:lpwstr/>
      </vt:variant>
      <vt:variant>
        <vt:lpwstr>_Toc462774393</vt:lpwstr>
      </vt:variant>
      <vt:variant>
        <vt:i4>1769472</vt:i4>
      </vt:variant>
      <vt:variant>
        <vt:i4>74</vt:i4>
      </vt:variant>
      <vt:variant>
        <vt:i4>0</vt:i4>
      </vt:variant>
      <vt:variant>
        <vt:i4>5</vt:i4>
      </vt:variant>
      <vt:variant>
        <vt:lpwstr/>
      </vt:variant>
      <vt:variant>
        <vt:lpwstr>_Toc462774392</vt:lpwstr>
      </vt:variant>
      <vt:variant>
        <vt:i4>1769475</vt:i4>
      </vt:variant>
      <vt:variant>
        <vt:i4>68</vt:i4>
      </vt:variant>
      <vt:variant>
        <vt:i4>0</vt:i4>
      </vt:variant>
      <vt:variant>
        <vt:i4>5</vt:i4>
      </vt:variant>
      <vt:variant>
        <vt:lpwstr/>
      </vt:variant>
      <vt:variant>
        <vt:lpwstr>_Toc462774391</vt:lpwstr>
      </vt:variant>
      <vt:variant>
        <vt:i4>1769474</vt:i4>
      </vt:variant>
      <vt:variant>
        <vt:i4>62</vt:i4>
      </vt:variant>
      <vt:variant>
        <vt:i4>0</vt:i4>
      </vt:variant>
      <vt:variant>
        <vt:i4>5</vt:i4>
      </vt:variant>
      <vt:variant>
        <vt:lpwstr/>
      </vt:variant>
      <vt:variant>
        <vt:lpwstr>_Toc462774390</vt:lpwstr>
      </vt:variant>
      <vt:variant>
        <vt:i4>1703947</vt:i4>
      </vt:variant>
      <vt:variant>
        <vt:i4>56</vt:i4>
      </vt:variant>
      <vt:variant>
        <vt:i4>0</vt:i4>
      </vt:variant>
      <vt:variant>
        <vt:i4>5</vt:i4>
      </vt:variant>
      <vt:variant>
        <vt:lpwstr/>
      </vt:variant>
      <vt:variant>
        <vt:lpwstr>_Toc462774389</vt:lpwstr>
      </vt:variant>
      <vt:variant>
        <vt:i4>1703946</vt:i4>
      </vt:variant>
      <vt:variant>
        <vt:i4>50</vt:i4>
      </vt:variant>
      <vt:variant>
        <vt:i4>0</vt:i4>
      </vt:variant>
      <vt:variant>
        <vt:i4>5</vt:i4>
      </vt:variant>
      <vt:variant>
        <vt:lpwstr/>
      </vt:variant>
      <vt:variant>
        <vt:lpwstr>_Toc462774388</vt:lpwstr>
      </vt:variant>
      <vt:variant>
        <vt:i4>1703941</vt:i4>
      </vt:variant>
      <vt:variant>
        <vt:i4>44</vt:i4>
      </vt:variant>
      <vt:variant>
        <vt:i4>0</vt:i4>
      </vt:variant>
      <vt:variant>
        <vt:i4>5</vt:i4>
      </vt:variant>
      <vt:variant>
        <vt:lpwstr/>
      </vt:variant>
      <vt:variant>
        <vt:lpwstr>_Toc462774387</vt:lpwstr>
      </vt:variant>
      <vt:variant>
        <vt:i4>1703940</vt:i4>
      </vt:variant>
      <vt:variant>
        <vt:i4>38</vt:i4>
      </vt:variant>
      <vt:variant>
        <vt:i4>0</vt:i4>
      </vt:variant>
      <vt:variant>
        <vt:i4>5</vt:i4>
      </vt:variant>
      <vt:variant>
        <vt:lpwstr/>
      </vt:variant>
      <vt:variant>
        <vt:lpwstr>_Toc462774386</vt:lpwstr>
      </vt:variant>
      <vt:variant>
        <vt:i4>1703943</vt:i4>
      </vt:variant>
      <vt:variant>
        <vt:i4>32</vt:i4>
      </vt:variant>
      <vt:variant>
        <vt:i4>0</vt:i4>
      </vt:variant>
      <vt:variant>
        <vt:i4>5</vt:i4>
      </vt:variant>
      <vt:variant>
        <vt:lpwstr/>
      </vt:variant>
      <vt:variant>
        <vt:lpwstr>_Toc462774385</vt:lpwstr>
      </vt:variant>
      <vt:variant>
        <vt:i4>1703942</vt:i4>
      </vt:variant>
      <vt:variant>
        <vt:i4>26</vt:i4>
      </vt:variant>
      <vt:variant>
        <vt:i4>0</vt:i4>
      </vt:variant>
      <vt:variant>
        <vt:i4>5</vt:i4>
      </vt:variant>
      <vt:variant>
        <vt:lpwstr/>
      </vt:variant>
      <vt:variant>
        <vt:lpwstr>_Toc462774384</vt:lpwstr>
      </vt:variant>
      <vt:variant>
        <vt:i4>1703937</vt:i4>
      </vt:variant>
      <vt:variant>
        <vt:i4>20</vt:i4>
      </vt:variant>
      <vt:variant>
        <vt:i4>0</vt:i4>
      </vt:variant>
      <vt:variant>
        <vt:i4>5</vt:i4>
      </vt:variant>
      <vt:variant>
        <vt:lpwstr/>
      </vt:variant>
      <vt:variant>
        <vt:lpwstr>_Toc462774383</vt:lpwstr>
      </vt:variant>
      <vt:variant>
        <vt:i4>1703936</vt:i4>
      </vt:variant>
      <vt:variant>
        <vt:i4>14</vt:i4>
      </vt:variant>
      <vt:variant>
        <vt:i4>0</vt:i4>
      </vt:variant>
      <vt:variant>
        <vt:i4>5</vt:i4>
      </vt:variant>
      <vt:variant>
        <vt:lpwstr/>
      </vt:variant>
      <vt:variant>
        <vt:lpwstr>_Toc462774382</vt:lpwstr>
      </vt:variant>
      <vt:variant>
        <vt:i4>1703939</vt:i4>
      </vt:variant>
      <vt:variant>
        <vt:i4>8</vt:i4>
      </vt:variant>
      <vt:variant>
        <vt:i4>0</vt:i4>
      </vt:variant>
      <vt:variant>
        <vt:i4>5</vt:i4>
      </vt:variant>
      <vt:variant>
        <vt:lpwstr/>
      </vt:variant>
      <vt:variant>
        <vt:lpwstr>_Toc462774381</vt:lpwstr>
      </vt:variant>
      <vt:variant>
        <vt:i4>1703938</vt:i4>
      </vt:variant>
      <vt:variant>
        <vt:i4>2</vt:i4>
      </vt:variant>
      <vt:variant>
        <vt:i4>0</vt:i4>
      </vt:variant>
      <vt:variant>
        <vt:i4>5</vt:i4>
      </vt:variant>
      <vt:variant>
        <vt:lpwstr/>
      </vt:variant>
      <vt:variant>
        <vt:lpwstr>_Toc462774380</vt:lpwstr>
      </vt:variant>
      <vt:variant>
        <vt:i4>6488106</vt:i4>
      </vt:variant>
      <vt:variant>
        <vt:i4>2053</vt:i4>
      </vt:variant>
      <vt:variant>
        <vt:i4>1025</vt:i4>
      </vt:variant>
      <vt:variant>
        <vt:i4>1</vt:i4>
      </vt:variant>
      <vt:variant>
        <vt:lpwstr>FTC_Logo_FullColour_RGB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FIX Protocol Gap Analysis Proposal Template</dc:title>
  <dc:creator>Jim Northey</dc:creator>
  <cp:lastModifiedBy>Tim</cp:lastModifiedBy>
  <cp:revision>2</cp:revision>
  <cp:lastPrinted>2017-04-10T14:45:00Z</cp:lastPrinted>
  <dcterms:created xsi:type="dcterms:W3CDTF">2017-10-12T11:14:00Z</dcterms:created>
  <dcterms:modified xsi:type="dcterms:W3CDTF">2017-10-12T11:14:00Z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mailTo">
    <vt:lpwstr/>
  </property>
  <property fmtid="{D5CDD505-2E9C-101B-9397-08002B2CF9AE}" pid="3" name="EmailSender">
    <vt:lpwstr/>
  </property>
  <property fmtid="{D5CDD505-2E9C-101B-9397-08002B2CF9AE}" pid="4" name="EmailFrom">
    <vt:lpwstr/>
  </property>
  <property fmtid="{D5CDD505-2E9C-101B-9397-08002B2CF9AE}" pid="5" name="EmailSubject">
    <vt:lpwstr/>
  </property>
  <property fmtid="{D5CDD505-2E9C-101B-9397-08002B2CF9AE}" pid="6" name="EmailCc">
    <vt:lpwstr/>
  </property>
  <property fmtid="{D5CDD505-2E9C-101B-9397-08002B2CF9AE}" pid="7" name="E-Mail To">
    <vt:lpwstr/>
  </property>
  <property fmtid="{D5CDD505-2E9C-101B-9397-08002B2CF9AE}" pid="8" name="E-Mail Sender">
    <vt:lpwstr/>
  </property>
  <property fmtid="{D5CDD505-2E9C-101B-9397-08002B2CF9AE}" pid="9" name="E-Mail From">
    <vt:lpwstr/>
  </property>
  <property fmtid="{D5CDD505-2E9C-101B-9397-08002B2CF9AE}" pid="10" name="E-Mail Subject">
    <vt:lpwstr/>
  </property>
  <property fmtid="{D5CDD505-2E9C-101B-9397-08002B2CF9AE}" pid="11" name="E-Mail Cc">
    <vt:lpwstr/>
  </property>
  <property fmtid="{D5CDD505-2E9C-101B-9397-08002B2CF9AE}" pid="12" name="_NewReviewCycle">
    <vt:lpwstr/>
  </property>
</Properties>
</file>